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F8" w:rsidRDefault="00B856F8" w:rsidP="00783817"/>
    <w:p w:rsidR="00B856F8" w:rsidRDefault="00B856F8" w:rsidP="00783817"/>
    <w:p w:rsidR="00B856F8" w:rsidRDefault="00B856F8" w:rsidP="00783817"/>
    <w:p w:rsidR="00783817" w:rsidRPr="009A7F0D" w:rsidRDefault="00720203" w:rsidP="00783817">
      <w:r>
        <w:rPr>
          <w:noProof/>
        </w:rPr>
        <w:drawing>
          <wp:anchor distT="0" distB="0" distL="114300" distR="114300" simplePos="0" relativeHeight="251657216" behindDoc="1" locked="0" layoutInCell="1" allowOverlap="1" wp14:anchorId="4945BA95" wp14:editId="1313BDDF">
            <wp:simplePos x="0" y="0"/>
            <wp:positionH relativeFrom="margin">
              <wp:align>right</wp:align>
            </wp:positionH>
            <wp:positionV relativeFrom="topMargin">
              <wp:align>bottom</wp:align>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Communiqué de presse</w:t>
      </w:r>
      <w:r>
        <w:rPr>
          <w:szCs w:val="22"/>
        </w:rPr>
        <w:t xml:space="preserve"> </w:t>
      </w:r>
      <w:r>
        <w:rPr>
          <w:szCs w:val="22"/>
        </w:rPr>
        <w:tab/>
      </w:r>
      <w:r>
        <w:rPr>
          <w:b w:val="0"/>
          <w:sz w:val="22"/>
          <w:szCs w:val="22"/>
        </w:rPr>
        <w:t>Sulz am Neckar, mars 2017</w:t>
      </w:r>
    </w:p>
    <w:p w:rsidR="00B856F8" w:rsidRDefault="00B856F8" w:rsidP="009D3D97">
      <w:pPr>
        <w:rPr>
          <w:rFonts w:cs="Arial"/>
          <w:sz w:val="22"/>
          <w:szCs w:val="22"/>
        </w:rPr>
      </w:pPr>
    </w:p>
    <w:p w:rsidR="00B856F8" w:rsidRDefault="00B856F8" w:rsidP="009D3D97">
      <w:pPr>
        <w:rPr>
          <w:rFonts w:cs="Arial"/>
          <w:sz w:val="22"/>
          <w:szCs w:val="22"/>
        </w:rPr>
      </w:pPr>
    </w:p>
    <w:p w:rsidR="00BC45FA" w:rsidRPr="00BC45FA" w:rsidRDefault="00462F92" w:rsidP="00BC45FA">
      <w:pPr>
        <w:rPr>
          <w:rFonts w:cs="Arial"/>
          <w:sz w:val="22"/>
          <w:szCs w:val="22"/>
        </w:rPr>
      </w:pPr>
      <w:r>
        <w:rPr>
          <w:rFonts w:cs="Arial"/>
          <w:sz w:val="22"/>
          <w:szCs w:val="22"/>
        </w:rPr>
        <w:t>Une fermeture sûre d'un simple geste</w:t>
      </w:r>
    </w:p>
    <w:p w:rsidR="00BC45FA" w:rsidRPr="00BC45FA" w:rsidRDefault="00462F92" w:rsidP="00BC45FA">
      <w:pPr>
        <w:keepNext/>
        <w:spacing w:before="240" w:after="60"/>
        <w:outlineLvl w:val="0"/>
        <w:rPr>
          <w:rFonts w:eastAsia="Times"/>
          <w:b/>
          <w:kern w:val="32"/>
          <w:sz w:val="32"/>
          <w:szCs w:val="32"/>
          <w:lang w:eastAsia="x-none"/>
        </w:rPr>
      </w:pPr>
      <w:r>
        <w:rPr>
          <w:rFonts w:eastAsia="Times"/>
          <w:b/>
          <w:kern w:val="32"/>
          <w:sz w:val="32"/>
          <w:szCs w:val="32"/>
        </w:rPr>
        <w:t>KIPP présente de nouveaux éléments de fixation</w:t>
      </w:r>
    </w:p>
    <w:p w:rsidR="00BC45FA" w:rsidRPr="00BC45FA" w:rsidRDefault="00BC45FA" w:rsidP="00BC45FA">
      <w:pPr>
        <w:spacing w:line="360" w:lineRule="auto"/>
        <w:rPr>
          <w:b/>
          <w:bCs/>
          <w:lang w:eastAsia="x-none"/>
        </w:rPr>
      </w:pPr>
    </w:p>
    <w:p w:rsidR="00EA2585" w:rsidRPr="005D608E" w:rsidRDefault="00437AAF" w:rsidP="006D2823">
      <w:pPr>
        <w:spacing w:line="276" w:lineRule="auto"/>
        <w:rPr>
          <w:rFonts w:cs="Arial"/>
          <w:b/>
          <w:sz w:val="22"/>
          <w:szCs w:val="22"/>
          <w:lang w:val="en-US"/>
        </w:rPr>
      </w:pPr>
      <w:r>
        <w:rPr>
          <w:rFonts w:cs="Arial"/>
          <w:b/>
          <w:sz w:val="22"/>
          <w:szCs w:val="22"/>
        </w:rPr>
        <w:t xml:space="preserve">La société HEINRICH KIPP WERK complète sa gamme avec des éléments de fixation pratiques, qui permettent de relier deux plaques séparées avec une force définie. </w:t>
      </w:r>
      <w:r w:rsidRPr="005D608E">
        <w:rPr>
          <w:rFonts w:cs="Arial"/>
          <w:b/>
          <w:sz w:val="22"/>
          <w:szCs w:val="22"/>
          <w:lang w:val="en-US"/>
        </w:rPr>
        <w:t xml:space="preserve">Une poignée de manutention suffit pour obtenir </w:t>
      </w:r>
      <w:proofErr w:type="gramStart"/>
      <w:r w:rsidRPr="005D608E">
        <w:rPr>
          <w:rFonts w:cs="Arial"/>
          <w:b/>
          <w:sz w:val="22"/>
          <w:szCs w:val="22"/>
          <w:lang w:val="en-US"/>
        </w:rPr>
        <w:t>un</w:t>
      </w:r>
      <w:proofErr w:type="gramEnd"/>
      <w:r w:rsidRPr="005D608E">
        <w:rPr>
          <w:rFonts w:cs="Arial"/>
          <w:b/>
          <w:sz w:val="22"/>
          <w:szCs w:val="22"/>
          <w:lang w:val="en-US"/>
        </w:rPr>
        <w:t xml:space="preserve"> serrage sûr et complet. Avec </w:t>
      </w:r>
      <w:proofErr w:type="gramStart"/>
      <w:r w:rsidRPr="005D608E">
        <w:rPr>
          <w:rFonts w:cs="Arial"/>
          <w:b/>
          <w:sz w:val="22"/>
          <w:szCs w:val="22"/>
          <w:lang w:val="en-US"/>
        </w:rPr>
        <w:t>ses</w:t>
      </w:r>
      <w:proofErr w:type="gramEnd"/>
      <w:r w:rsidRPr="005D608E">
        <w:rPr>
          <w:rFonts w:cs="Arial"/>
          <w:b/>
          <w:sz w:val="22"/>
          <w:szCs w:val="22"/>
          <w:lang w:val="en-US"/>
        </w:rPr>
        <w:t xml:space="preserve"> nouveaux verrous quart de tour et goupilles d'arrêt, KIPP intègre dans sa gamme plusieurs options de fixation.  </w:t>
      </w:r>
    </w:p>
    <w:p w:rsidR="00437AAF" w:rsidRPr="005D608E" w:rsidRDefault="00437AAF" w:rsidP="006D2823">
      <w:pPr>
        <w:spacing w:line="276" w:lineRule="auto"/>
        <w:rPr>
          <w:rFonts w:cs="Arial"/>
          <w:sz w:val="22"/>
          <w:szCs w:val="22"/>
          <w:lang w:val="en-US"/>
        </w:rPr>
      </w:pPr>
    </w:p>
    <w:p w:rsidR="00462F92" w:rsidRPr="005D608E" w:rsidRDefault="00437AAF" w:rsidP="00462F92">
      <w:pPr>
        <w:spacing w:line="276" w:lineRule="auto"/>
        <w:rPr>
          <w:rFonts w:cs="Arial"/>
          <w:sz w:val="22"/>
          <w:szCs w:val="22"/>
          <w:lang w:val="en-US"/>
        </w:rPr>
      </w:pPr>
      <w:r w:rsidRPr="005D608E">
        <w:rPr>
          <w:rFonts w:cs="Arial"/>
          <w:sz w:val="22"/>
          <w:szCs w:val="22"/>
          <w:lang w:val="en-US"/>
        </w:rPr>
        <w:t xml:space="preserve">Avec le verrou quart de tour, la fixation </w:t>
      </w:r>
      <w:proofErr w:type="gramStart"/>
      <w:r w:rsidRPr="005D608E">
        <w:rPr>
          <w:rFonts w:cs="Arial"/>
          <w:sz w:val="22"/>
          <w:szCs w:val="22"/>
          <w:lang w:val="en-US"/>
        </w:rPr>
        <w:t>est</w:t>
      </w:r>
      <w:proofErr w:type="gramEnd"/>
      <w:r w:rsidRPr="005D608E">
        <w:rPr>
          <w:rFonts w:cs="Arial"/>
          <w:sz w:val="22"/>
          <w:szCs w:val="22"/>
          <w:lang w:val="en-US"/>
        </w:rPr>
        <w:t xml:space="preserve"> obtenue par une rotation de 90° de la position « OFF » à la position « ON ». Une goupille reliée à la poignée </w:t>
      </w:r>
      <w:proofErr w:type="gramStart"/>
      <w:r w:rsidRPr="005D608E">
        <w:rPr>
          <w:rFonts w:cs="Arial"/>
          <w:sz w:val="22"/>
          <w:szCs w:val="22"/>
          <w:lang w:val="en-US"/>
        </w:rPr>
        <w:t>est</w:t>
      </w:r>
      <w:proofErr w:type="gramEnd"/>
      <w:r w:rsidRPr="005D608E">
        <w:rPr>
          <w:rFonts w:cs="Arial"/>
          <w:sz w:val="22"/>
          <w:szCs w:val="22"/>
          <w:lang w:val="en-US"/>
        </w:rPr>
        <w:t xml:space="preserve"> alors insérée dans une plaque de bridage. La goupille s'engrène dans la plaque </w:t>
      </w:r>
      <w:proofErr w:type="gramStart"/>
      <w:r w:rsidRPr="005D608E">
        <w:rPr>
          <w:rFonts w:cs="Arial"/>
          <w:sz w:val="22"/>
          <w:szCs w:val="22"/>
          <w:lang w:val="en-US"/>
        </w:rPr>
        <w:t>et</w:t>
      </w:r>
      <w:proofErr w:type="gramEnd"/>
      <w:r w:rsidRPr="005D608E">
        <w:rPr>
          <w:rFonts w:cs="Arial"/>
          <w:sz w:val="22"/>
          <w:szCs w:val="22"/>
          <w:lang w:val="en-US"/>
        </w:rPr>
        <w:t xml:space="preserve"> fixe solidement les composants. </w:t>
      </w:r>
      <w:proofErr w:type="gramStart"/>
      <w:r w:rsidRPr="005D608E">
        <w:rPr>
          <w:rFonts w:cs="Arial"/>
          <w:sz w:val="22"/>
          <w:szCs w:val="22"/>
          <w:lang w:val="en-US"/>
        </w:rPr>
        <w:t>Un</w:t>
      </w:r>
      <w:proofErr w:type="gramEnd"/>
      <w:r w:rsidRPr="005D608E">
        <w:rPr>
          <w:rFonts w:cs="Arial"/>
          <w:sz w:val="22"/>
          <w:szCs w:val="22"/>
          <w:lang w:val="en-US"/>
        </w:rPr>
        <w:t xml:space="preserve"> clic signale la fermeture ou – dans le cas d'une rotation en sens inverse – l'ouverture. KIPP propose le verrou quart de </w:t>
      </w:r>
      <w:proofErr w:type="gramStart"/>
      <w:r w:rsidRPr="005D608E">
        <w:rPr>
          <w:rFonts w:cs="Arial"/>
          <w:sz w:val="22"/>
          <w:szCs w:val="22"/>
          <w:lang w:val="en-US"/>
        </w:rPr>
        <w:t>tour également en version plate</w:t>
      </w:r>
      <w:proofErr w:type="gramEnd"/>
      <w:r w:rsidRPr="005D608E">
        <w:rPr>
          <w:rFonts w:cs="Arial"/>
          <w:sz w:val="22"/>
          <w:szCs w:val="22"/>
          <w:lang w:val="en-US"/>
        </w:rPr>
        <w:t xml:space="preserve">. Les boutons de ces éléments de fixation sont en thermoplastique ou en Inox, tandis que leur corps </w:t>
      </w:r>
      <w:proofErr w:type="gramStart"/>
      <w:r w:rsidRPr="005D608E">
        <w:rPr>
          <w:rFonts w:cs="Arial"/>
          <w:sz w:val="22"/>
          <w:szCs w:val="22"/>
          <w:lang w:val="en-US"/>
        </w:rPr>
        <w:t>est</w:t>
      </w:r>
      <w:proofErr w:type="gramEnd"/>
      <w:r w:rsidRPr="005D608E">
        <w:rPr>
          <w:rFonts w:cs="Arial"/>
          <w:sz w:val="22"/>
          <w:szCs w:val="22"/>
          <w:lang w:val="en-US"/>
        </w:rPr>
        <w:t xml:space="preserve"> en acier nickelé. Des plaques de bridage pour verrou quart de tour adaptées sont disponibles séparément.</w:t>
      </w:r>
    </w:p>
    <w:p w:rsidR="00437AAF" w:rsidRPr="005D608E" w:rsidRDefault="00437AAF" w:rsidP="006D2823">
      <w:pPr>
        <w:spacing w:line="276" w:lineRule="auto"/>
        <w:rPr>
          <w:rFonts w:cs="Arial"/>
          <w:sz w:val="22"/>
          <w:szCs w:val="22"/>
          <w:lang w:val="en-US"/>
        </w:rPr>
      </w:pPr>
    </w:p>
    <w:p w:rsidR="00462F92" w:rsidRDefault="00C22F84" w:rsidP="006D2823">
      <w:pPr>
        <w:spacing w:line="276" w:lineRule="auto"/>
        <w:rPr>
          <w:rFonts w:cs="Arial"/>
          <w:sz w:val="22"/>
          <w:szCs w:val="22"/>
        </w:rPr>
      </w:pPr>
      <w:r w:rsidRPr="005D608E">
        <w:rPr>
          <w:rFonts w:cs="Arial"/>
          <w:sz w:val="22"/>
          <w:szCs w:val="22"/>
          <w:lang w:val="en-US"/>
        </w:rPr>
        <w:t xml:space="preserve">KIPP présente également de nouvelles goupilles d'arrêt déclinées en différentes versions, avec des dimensions ainsi que des forces de retenue </w:t>
      </w:r>
      <w:proofErr w:type="gramStart"/>
      <w:r w:rsidRPr="005D608E">
        <w:rPr>
          <w:rFonts w:cs="Arial"/>
          <w:sz w:val="22"/>
          <w:szCs w:val="22"/>
          <w:lang w:val="en-US"/>
        </w:rPr>
        <w:t>et</w:t>
      </w:r>
      <w:proofErr w:type="gramEnd"/>
      <w:r w:rsidRPr="005D608E">
        <w:rPr>
          <w:rFonts w:cs="Arial"/>
          <w:sz w:val="22"/>
          <w:szCs w:val="22"/>
          <w:lang w:val="en-US"/>
        </w:rPr>
        <w:t xml:space="preserve"> d'extraction variées. Elles peuvent être utilisées dans les dispositifs de changement d'outils en zone de montage </w:t>
      </w:r>
      <w:proofErr w:type="gramStart"/>
      <w:r w:rsidRPr="005D608E">
        <w:rPr>
          <w:rFonts w:cs="Arial"/>
          <w:sz w:val="22"/>
          <w:szCs w:val="22"/>
          <w:lang w:val="en-US"/>
        </w:rPr>
        <w:t>et</w:t>
      </w:r>
      <w:proofErr w:type="gramEnd"/>
      <w:r w:rsidRPr="005D608E">
        <w:rPr>
          <w:rFonts w:cs="Arial"/>
          <w:sz w:val="22"/>
          <w:szCs w:val="22"/>
          <w:lang w:val="en-US"/>
        </w:rPr>
        <w:t xml:space="preserve"> dans toute autre application nécessitant un réglage manuel ou un équipement rapide, comme le réglage en hauteur sur des installations automatiques. Tous ces articles conviennent pour le bridage rapide de deux plaques de force identique ou différente. Pour </w:t>
      </w:r>
      <w:proofErr w:type="gramStart"/>
      <w:r w:rsidRPr="005D608E">
        <w:rPr>
          <w:rFonts w:cs="Arial"/>
          <w:sz w:val="22"/>
          <w:szCs w:val="22"/>
          <w:lang w:val="en-US"/>
        </w:rPr>
        <w:t>ce</w:t>
      </w:r>
      <w:proofErr w:type="gramEnd"/>
      <w:r w:rsidRPr="005D608E">
        <w:rPr>
          <w:rFonts w:cs="Arial"/>
          <w:sz w:val="22"/>
          <w:szCs w:val="22"/>
          <w:lang w:val="en-US"/>
        </w:rPr>
        <w:t xml:space="preserve"> faire, il faut appuyer sur le bouton et insérer la goupille d'arrêt dans la douille de fixation prévue à cet effet. </w:t>
      </w:r>
      <w:r>
        <w:rPr>
          <w:rFonts w:cs="Arial"/>
          <w:sz w:val="22"/>
          <w:szCs w:val="22"/>
        </w:rPr>
        <w:t xml:space="preserve">Les plaques sont serrées en relâchant le bouton. Le desserrage se fait en procédant dans le sens inverse. </w:t>
      </w:r>
    </w:p>
    <w:p w:rsidR="00462F92" w:rsidRDefault="00462F92" w:rsidP="006D2823">
      <w:pPr>
        <w:spacing w:line="276" w:lineRule="auto"/>
        <w:rPr>
          <w:rFonts w:cs="Arial"/>
          <w:sz w:val="22"/>
          <w:szCs w:val="22"/>
        </w:rPr>
      </w:pPr>
    </w:p>
    <w:p w:rsidR="006D2823" w:rsidRPr="00462F92" w:rsidRDefault="00462F92" w:rsidP="006D2823">
      <w:pPr>
        <w:spacing w:line="276" w:lineRule="auto"/>
        <w:rPr>
          <w:rFonts w:cs="Arial"/>
          <w:sz w:val="22"/>
          <w:szCs w:val="22"/>
        </w:rPr>
      </w:pPr>
      <w:r>
        <w:rPr>
          <w:rFonts w:cs="Arial"/>
          <w:sz w:val="22"/>
          <w:szCs w:val="22"/>
        </w:rPr>
        <w:t xml:space="preserve">Les goupilles d'arrêt sont disponibles en version Inox ou avec une poignée d'entraînement en plastique. La précision de répétition pour les goupilles d'arrêt vissées et encastrées est de ±0,25 mm et peut être augmentée à l'aide de cimblots supplémentaires. </w:t>
      </w:r>
    </w:p>
    <w:p w:rsidR="006D2823" w:rsidRDefault="006D2823" w:rsidP="00437AAF">
      <w:pPr>
        <w:rPr>
          <w:rFonts w:cs="Arial"/>
          <w:sz w:val="22"/>
          <w:szCs w:val="22"/>
        </w:rPr>
      </w:pPr>
    </w:p>
    <w:p w:rsidR="00880C0D" w:rsidRDefault="00880C0D" w:rsidP="00437AAF">
      <w:pPr>
        <w:rPr>
          <w:rFonts w:cs="Arial"/>
          <w:sz w:val="22"/>
          <w:szCs w:val="22"/>
        </w:rPr>
      </w:pPr>
    </w:p>
    <w:p w:rsidR="00880C0D" w:rsidRDefault="00880C0D" w:rsidP="00437AAF">
      <w:pPr>
        <w:rPr>
          <w:rFonts w:cs="Arial"/>
        </w:rPr>
      </w:pPr>
    </w:p>
    <w:p w:rsidR="00783817" w:rsidRPr="005D608E" w:rsidRDefault="00783817" w:rsidP="00783817">
      <w:pPr>
        <w:rPr>
          <w:rFonts w:eastAsia="Times"/>
          <w:sz w:val="22"/>
          <w:szCs w:val="20"/>
          <w:lang w:val="en-US"/>
        </w:rPr>
      </w:pPr>
      <w:r w:rsidRPr="005D608E">
        <w:rPr>
          <w:rFonts w:cs="Arial"/>
          <w:sz w:val="20"/>
          <w:u w:val="single"/>
          <w:lang w:val="en-US"/>
        </w:rPr>
        <w:t xml:space="preserve">Nombre de caractères, espaces </w:t>
      </w:r>
      <w:proofErr w:type="gramStart"/>
      <w:r w:rsidRPr="005D608E">
        <w:rPr>
          <w:rFonts w:cs="Arial"/>
          <w:sz w:val="20"/>
          <w:u w:val="single"/>
          <w:lang w:val="en-US"/>
        </w:rPr>
        <w:t>compris :</w:t>
      </w:r>
      <w:proofErr w:type="gramEnd"/>
    </w:p>
    <w:p w:rsidR="00783817" w:rsidRPr="005D608E" w:rsidRDefault="005D608E" w:rsidP="00783817">
      <w:pPr>
        <w:tabs>
          <w:tab w:val="right" w:pos="2410"/>
        </w:tabs>
        <w:rPr>
          <w:rFonts w:cs="Arial"/>
          <w:sz w:val="20"/>
          <w:lang w:val="en-US"/>
        </w:rPr>
      </w:pPr>
      <w:proofErr w:type="gramStart"/>
      <w:r>
        <w:rPr>
          <w:rFonts w:cs="Arial"/>
          <w:sz w:val="20"/>
          <w:lang w:val="en-US"/>
        </w:rPr>
        <w:t>Titre :</w:t>
      </w:r>
      <w:proofErr w:type="gramEnd"/>
      <w:r>
        <w:rPr>
          <w:rFonts w:cs="Arial"/>
          <w:sz w:val="20"/>
          <w:lang w:val="en-US"/>
        </w:rPr>
        <w:tab/>
        <w:t>46</w:t>
      </w:r>
      <w:r w:rsidR="00783817" w:rsidRPr="005D608E">
        <w:rPr>
          <w:rFonts w:cs="Arial"/>
          <w:sz w:val="20"/>
          <w:lang w:val="en-US"/>
        </w:rPr>
        <w:t> caractères</w:t>
      </w:r>
    </w:p>
    <w:p w:rsidR="00B856F8" w:rsidRPr="005D608E" w:rsidRDefault="005D608E" w:rsidP="00B856F8">
      <w:pPr>
        <w:tabs>
          <w:tab w:val="right" w:pos="2410"/>
        </w:tabs>
        <w:rPr>
          <w:rFonts w:cs="Arial"/>
          <w:sz w:val="20"/>
          <w:lang w:val="en-US"/>
        </w:rPr>
      </w:pPr>
      <w:r>
        <w:rPr>
          <w:rFonts w:cs="Arial"/>
          <w:sz w:val="20"/>
          <w:lang w:val="en-US"/>
        </w:rPr>
        <w:t>Pré-</w:t>
      </w:r>
      <w:proofErr w:type="gramStart"/>
      <w:r>
        <w:rPr>
          <w:rFonts w:cs="Arial"/>
          <w:sz w:val="20"/>
          <w:lang w:val="en-US"/>
        </w:rPr>
        <w:t>titre :</w:t>
      </w:r>
      <w:proofErr w:type="gramEnd"/>
      <w:r>
        <w:rPr>
          <w:rFonts w:cs="Arial"/>
          <w:sz w:val="20"/>
          <w:lang w:val="en-US"/>
        </w:rPr>
        <w:tab/>
        <w:t xml:space="preserve">36 </w:t>
      </w:r>
      <w:r w:rsidR="00B856F8" w:rsidRPr="005D608E">
        <w:rPr>
          <w:rFonts w:cs="Arial"/>
          <w:sz w:val="20"/>
          <w:lang w:val="en-US"/>
        </w:rPr>
        <w:t>caractères</w:t>
      </w:r>
    </w:p>
    <w:p w:rsidR="00783817" w:rsidRPr="005D608E" w:rsidRDefault="005D608E" w:rsidP="00783817">
      <w:pPr>
        <w:tabs>
          <w:tab w:val="right" w:pos="2410"/>
        </w:tabs>
        <w:rPr>
          <w:rFonts w:cs="Arial"/>
          <w:sz w:val="20"/>
          <w:lang w:val="en-US"/>
        </w:rPr>
      </w:pPr>
      <w:proofErr w:type="gramStart"/>
      <w:r>
        <w:rPr>
          <w:rFonts w:cs="Arial"/>
          <w:sz w:val="20"/>
          <w:lang w:val="en-US"/>
        </w:rPr>
        <w:t>Texte :</w:t>
      </w:r>
      <w:proofErr w:type="gramEnd"/>
      <w:r>
        <w:rPr>
          <w:rFonts w:cs="Arial"/>
          <w:sz w:val="20"/>
          <w:lang w:val="en-US"/>
        </w:rPr>
        <w:tab/>
        <w:t> 1.992</w:t>
      </w:r>
      <w:r w:rsidR="00783817" w:rsidRPr="005D608E">
        <w:rPr>
          <w:rFonts w:cs="Arial"/>
          <w:sz w:val="20"/>
          <w:lang w:val="en-US"/>
        </w:rPr>
        <w:t> caractères</w:t>
      </w:r>
    </w:p>
    <w:p w:rsidR="00783817" w:rsidRPr="005D608E" w:rsidRDefault="005D608E" w:rsidP="00783817">
      <w:pPr>
        <w:tabs>
          <w:tab w:val="right" w:pos="2410"/>
        </w:tabs>
        <w:rPr>
          <w:rFonts w:cs="Arial"/>
          <w:sz w:val="20"/>
          <w:lang w:val="en-US"/>
        </w:rPr>
      </w:pPr>
      <w:proofErr w:type="gramStart"/>
      <w:r>
        <w:rPr>
          <w:rFonts w:cs="Arial"/>
          <w:sz w:val="20"/>
          <w:lang w:val="en-US"/>
        </w:rPr>
        <w:t>Total :</w:t>
      </w:r>
      <w:proofErr w:type="gramEnd"/>
      <w:r>
        <w:rPr>
          <w:rFonts w:cs="Arial"/>
          <w:sz w:val="20"/>
          <w:lang w:val="en-US"/>
        </w:rPr>
        <w:tab/>
        <w:t>2.074</w:t>
      </w:r>
      <w:r w:rsidR="00783817" w:rsidRPr="005D608E">
        <w:rPr>
          <w:rFonts w:cs="Arial"/>
          <w:sz w:val="20"/>
          <w:lang w:val="en-US"/>
        </w:rPr>
        <w:t> caractères</w:t>
      </w:r>
    </w:p>
    <w:p w:rsidR="00B70BE5" w:rsidRPr="005D608E" w:rsidRDefault="00B70BE5" w:rsidP="00783817">
      <w:pPr>
        <w:tabs>
          <w:tab w:val="right" w:pos="2410"/>
        </w:tabs>
        <w:rPr>
          <w:rFonts w:cs="Arial"/>
          <w:sz w:val="20"/>
          <w:lang w:val="en-US"/>
        </w:rPr>
      </w:pPr>
    </w:p>
    <w:p w:rsidR="00880C0D" w:rsidRPr="005D608E" w:rsidRDefault="00880C0D">
      <w:pPr>
        <w:rPr>
          <w:rFonts w:eastAsia="Times"/>
          <w:sz w:val="22"/>
          <w:szCs w:val="20"/>
          <w:lang w:val="en-US"/>
        </w:rPr>
      </w:pPr>
      <w:r w:rsidRPr="005D608E">
        <w:rPr>
          <w:lang w:val="en-US"/>
        </w:rPr>
        <w:br w:type="page"/>
      </w:r>
    </w:p>
    <w:p w:rsidR="00783817" w:rsidRPr="005D608E" w:rsidRDefault="00783817" w:rsidP="00AE0177">
      <w:pPr>
        <w:pStyle w:val="Pressetext"/>
        <w:rPr>
          <w:rFonts w:cs="Arial"/>
          <w:sz w:val="20"/>
          <w:lang w:val="en-US"/>
        </w:rPr>
      </w:pPr>
      <w:r w:rsidRPr="005D608E">
        <w:rPr>
          <w:rFonts w:cs="Arial"/>
          <w:sz w:val="20"/>
          <w:lang w:val="en-US"/>
        </w:rPr>
        <w:lastRenderedPageBreak/>
        <w:t>KIPP FRANCE SAS</w:t>
      </w:r>
    </w:p>
    <w:p w:rsidR="00783817" w:rsidRPr="005D608E" w:rsidRDefault="00783817" w:rsidP="00783817">
      <w:pPr>
        <w:rPr>
          <w:rFonts w:cs="Arial"/>
          <w:sz w:val="20"/>
          <w:lang w:val="en-US"/>
        </w:rPr>
      </w:pPr>
      <w:r w:rsidRPr="005D608E">
        <w:rPr>
          <w:rFonts w:cs="Arial"/>
          <w:sz w:val="20"/>
          <w:lang w:val="en-US"/>
        </w:rPr>
        <w:t>Patrick Kargol</w:t>
      </w:r>
    </w:p>
    <w:p w:rsidR="00783817" w:rsidRPr="005D608E" w:rsidRDefault="00783817" w:rsidP="00783817">
      <w:pPr>
        <w:rPr>
          <w:rFonts w:cs="Arial"/>
          <w:sz w:val="20"/>
          <w:lang w:val="en-US"/>
        </w:rPr>
      </w:pPr>
      <w:r w:rsidRPr="005D608E">
        <w:rPr>
          <w:rFonts w:cs="Arial"/>
          <w:sz w:val="20"/>
          <w:lang w:val="en-US"/>
        </w:rPr>
        <w:t>6, rue des Frères Caudron</w:t>
      </w:r>
    </w:p>
    <w:p w:rsidR="00783817" w:rsidRPr="005D608E" w:rsidRDefault="00783817" w:rsidP="00783817">
      <w:pPr>
        <w:rPr>
          <w:rFonts w:cs="Arial"/>
          <w:sz w:val="20"/>
          <w:lang w:val="en-US"/>
        </w:rPr>
      </w:pPr>
      <w:proofErr w:type="gramStart"/>
      <w:r w:rsidRPr="005D608E">
        <w:rPr>
          <w:rFonts w:cs="Arial"/>
          <w:sz w:val="20"/>
          <w:lang w:val="en-US"/>
        </w:rPr>
        <w:t>78140</w:t>
      </w:r>
      <w:proofErr w:type="gramEnd"/>
      <w:r w:rsidRPr="005D608E">
        <w:rPr>
          <w:rFonts w:cs="Arial"/>
          <w:sz w:val="20"/>
          <w:lang w:val="en-US"/>
        </w:rPr>
        <w:t xml:space="preserve"> Vélizy-Villacoublay</w:t>
      </w:r>
    </w:p>
    <w:p w:rsidR="00783817" w:rsidRPr="005D608E" w:rsidRDefault="00783817" w:rsidP="00783817">
      <w:pPr>
        <w:rPr>
          <w:rFonts w:cs="Arial"/>
          <w:sz w:val="20"/>
          <w:lang w:val="en-US"/>
        </w:rPr>
      </w:pPr>
    </w:p>
    <w:p w:rsidR="00783817" w:rsidRPr="005D608E" w:rsidRDefault="00880C0D" w:rsidP="00783817">
      <w:pPr>
        <w:rPr>
          <w:rFonts w:cs="Arial"/>
          <w:sz w:val="20"/>
          <w:lang w:val="en-US"/>
        </w:rPr>
      </w:pPr>
      <w:proofErr w:type="gramStart"/>
      <w:r w:rsidRPr="005D608E">
        <w:rPr>
          <w:rFonts w:cs="Arial"/>
          <w:sz w:val="20"/>
          <w:lang w:val="en-US"/>
        </w:rPr>
        <w:t>Téléphone :</w:t>
      </w:r>
      <w:proofErr w:type="gramEnd"/>
      <w:r w:rsidRPr="005D608E">
        <w:rPr>
          <w:rFonts w:cs="Arial"/>
          <w:sz w:val="20"/>
          <w:lang w:val="en-US"/>
        </w:rPr>
        <w:t xml:space="preserve"> +49 7454 793-30</w:t>
      </w:r>
    </w:p>
    <w:p w:rsidR="00833B58" w:rsidRPr="005D608E" w:rsidRDefault="00783817" w:rsidP="00783817">
      <w:pPr>
        <w:rPr>
          <w:sz w:val="20"/>
          <w:szCs w:val="20"/>
          <w:lang w:val="en-US"/>
        </w:rPr>
      </w:pPr>
      <w:proofErr w:type="gramStart"/>
      <w:r w:rsidRPr="005D608E">
        <w:rPr>
          <w:sz w:val="20"/>
          <w:szCs w:val="20"/>
          <w:lang w:val="en-US"/>
        </w:rPr>
        <w:t>Mail :</w:t>
      </w:r>
      <w:proofErr w:type="gramEnd"/>
      <w:r w:rsidRPr="005D608E">
        <w:rPr>
          <w:sz w:val="20"/>
          <w:szCs w:val="20"/>
          <w:lang w:val="en-US"/>
        </w:rPr>
        <w:t xml:space="preserve"> </w:t>
      </w:r>
      <w:r w:rsidR="005D608E">
        <w:rPr>
          <w:sz w:val="20"/>
          <w:szCs w:val="20"/>
          <w:lang w:val="en-US"/>
        </w:rPr>
        <w:t>patrick.kargol@kipp.fr</w:t>
      </w:r>
      <w:hyperlink r:id="rId9" w:history="1"/>
    </w:p>
    <w:p w:rsidR="00AE0F46" w:rsidRPr="005D608E" w:rsidRDefault="00880C0D" w:rsidP="00783817">
      <w:pPr>
        <w:rPr>
          <w:sz w:val="20"/>
          <w:lang w:val="en-US"/>
        </w:rPr>
      </w:pPr>
      <w:r w:rsidRPr="005D608E">
        <w:rPr>
          <w:sz w:val="20"/>
          <w:szCs w:val="20"/>
          <w:lang w:val="en-US"/>
        </w:rPr>
        <w:t xml:space="preserve">Informations complémentaires </w:t>
      </w:r>
      <w:proofErr w:type="gramStart"/>
      <w:r w:rsidRPr="005D608E">
        <w:rPr>
          <w:sz w:val="20"/>
          <w:szCs w:val="20"/>
          <w:lang w:val="en-US"/>
        </w:rPr>
        <w:t>et</w:t>
      </w:r>
      <w:proofErr w:type="gramEnd"/>
      <w:r w:rsidRPr="005D608E">
        <w:rPr>
          <w:sz w:val="20"/>
          <w:szCs w:val="20"/>
          <w:lang w:val="en-US"/>
        </w:rPr>
        <w:t xml:space="preserve"> photos de presse </w:t>
      </w:r>
      <w:r w:rsidR="005D608E">
        <w:rPr>
          <w:sz w:val="20"/>
          <w:lang w:val="en-US"/>
        </w:rPr>
        <w:t>www.kipp.fr</w:t>
      </w:r>
      <w:r w:rsidRPr="005D608E">
        <w:rPr>
          <w:sz w:val="20"/>
          <w:szCs w:val="20"/>
          <w:lang w:val="en-US"/>
        </w:rPr>
        <w:t>,</w:t>
      </w:r>
    </w:p>
    <w:p w:rsidR="00783817" w:rsidRPr="005D608E" w:rsidRDefault="00783817" w:rsidP="00783817">
      <w:pPr>
        <w:rPr>
          <w:sz w:val="20"/>
          <w:szCs w:val="20"/>
          <w:lang w:val="en-US"/>
        </w:rPr>
      </w:pPr>
      <w:proofErr w:type="gramStart"/>
      <w:r w:rsidRPr="005D608E">
        <w:rPr>
          <w:sz w:val="20"/>
          <w:lang w:val="en-US"/>
        </w:rPr>
        <w:t>Région :</w:t>
      </w:r>
      <w:proofErr w:type="gramEnd"/>
      <w:r w:rsidRPr="005D608E">
        <w:rPr>
          <w:sz w:val="20"/>
          <w:lang w:val="en-US"/>
        </w:rPr>
        <w:t xml:space="preserve"> France, rubrique : Actualités / Communiqués de</w:t>
      </w:r>
      <w:bookmarkStart w:id="0" w:name="_GoBack"/>
      <w:bookmarkEnd w:id="0"/>
      <w:r w:rsidRPr="005D608E">
        <w:rPr>
          <w:sz w:val="20"/>
          <w:lang w:val="en-US"/>
        </w:rPr>
        <w:t xml:space="preserve"> presse</w:t>
      </w:r>
    </w:p>
    <w:p w:rsidR="00783817" w:rsidRPr="005D608E" w:rsidRDefault="00783817" w:rsidP="00783817">
      <w:pPr>
        <w:rPr>
          <w:sz w:val="20"/>
          <w:lang w:val="en-US"/>
        </w:rPr>
      </w:pPr>
    </w:p>
    <w:p w:rsidR="00783817" w:rsidRPr="005D608E" w:rsidRDefault="00783817" w:rsidP="00783817">
      <w:pPr>
        <w:rPr>
          <w:rFonts w:cs="Arial"/>
          <w:sz w:val="20"/>
          <w:szCs w:val="20"/>
          <w:lang w:val="en-US"/>
        </w:rPr>
      </w:pPr>
    </w:p>
    <w:p w:rsidR="00AE0177" w:rsidRPr="005D608E" w:rsidRDefault="00AE0177" w:rsidP="00783817">
      <w:pPr>
        <w:pStyle w:val="berschrift3"/>
        <w:rPr>
          <w:lang w:val="en-US"/>
        </w:rPr>
      </w:pPr>
    </w:p>
    <w:p w:rsidR="00783817" w:rsidRDefault="00783817" w:rsidP="00783817">
      <w:pPr>
        <w:pStyle w:val="berschrift3"/>
      </w:pPr>
      <w:r>
        <w:t>Photo</w:t>
      </w:r>
      <w:r>
        <w:tab/>
      </w:r>
    </w:p>
    <w:p w:rsidR="001E24DF" w:rsidRDefault="001E24DF" w:rsidP="001E24DF">
      <w:pPr>
        <w:rPr>
          <w:sz w:val="20"/>
        </w:rPr>
      </w:pPr>
      <w:r>
        <w:rPr>
          <w:sz w:val="20"/>
        </w:rPr>
        <w:t>KIPP éléments de FIXATION KIPP</w:t>
      </w:r>
      <w:r>
        <w:rPr>
          <w:sz w:val="20"/>
        </w:rPr>
        <w:br/>
        <w:t xml:space="preserve">Photo : KIPP </w:t>
      </w:r>
    </w:p>
    <w:p w:rsidR="004C73C7" w:rsidRDefault="004C73C7" w:rsidP="00783817"/>
    <w:tbl>
      <w:tblPr>
        <w:tblW w:w="0" w:type="auto"/>
        <w:tblInd w:w="113" w:type="dxa"/>
        <w:tblCellMar>
          <w:top w:w="28" w:type="dxa"/>
          <w:bottom w:w="28" w:type="dxa"/>
        </w:tblCellMar>
        <w:tblLook w:val="00A0" w:firstRow="1" w:lastRow="0" w:firstColumn="1" w:lastColumn="0" w:noHBand="0" w:noVBand="0"/>
      </w:tblPr>
      <w:tblGrid>
        <w:gridCol w:w="5076"/>
        <w:gridCol w:w="4307"/>
      </w:tblGrid>
      <w:tr w:rsidR="00826BCD" w:rsidRPr="003274EE" w:rsidTr="00E9235E">
        <w:tc>
          <w:tcPr>
            <w:tcW w:w="5076" w:type="dxa"/>
          </w:tcPr>
          <w:p w:rsidR="00880C0D" w:rsidRDefault="00880C0D" w:rsidP="001E24DF">
            <w:pPr>
              <w:rPr>
                <w:noProof/>
                <w:sz w:val="20"/>
              </w:rPr>
            </w:pPr>
          </w:p>
          <w:p w:rsidR="001E24DF" w:rsidRDefault="001E24DF" w:rsidP="001E24DF">
            <w:pPr>
              <w:rPr>
                <w:sz w:val="20"/>
              </w:rPr>
            </w:pPr>
          </w:p>
          <w:p w:rsidR="001E24DF" w:rsidRDefault="00880C0D" w:rsidP="001E24DF">
            <w:pPr>
              <w:rPr>
                <w:sz w:val="20"/>
              </w:rPr>
            </w:pPr>
            <w:r>
              <w:rPr>
                <w:noProof/>
                <w:sz w:val="20"/>
              </w:rPr>
              <w:drawing>
                <wp:anchor distT="0" distB="0" distL="114300" distR="114300" simplePos="0" relativeHeight="251658240" behindDoc="0" locked="0" layoutInCell="1" allowOverlap="1" wp14:anchorId="79AE96EE" wp14:editId="31F027D2">
                  <wp:simplePos x="0" y="0"/>
                  <wp:positionH relativeFrom="column">
                    <wp:posOffset>-2540</wp:posOffset>
                  </wp:positionH>
                  <wp:positionV relativeFrom="paragraph">
                    <wp:posOffset>-1905</wp:posOffset>
                  </wp:positionV>
                  <wp:extent cx="3086100" cy="1856664"/>
                  <wp:effectExtent l="0" t="0" r="0" b="0"/>
                  <wp:wrapThrough wrapText="bothSides">
                    <wp:wrapPolygon edited="0">
                      <wp:start x="0" y="0"/>
                      <wp:lineTo x="0" y="21282"/>
                      <wp:lineTo x="21467" y="21282"/>
                      <wp:lineTo x="2146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Drehspannriegel-K106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6100" cy="1856664"/>
                          </a:xfrm>
                          <a:prstGeom prst="rect">
                            <a:avLst/>
                          </a:prstGeom>
                        </pic:spPr>
                      </pic:pic>
                    </a:graphicData>
                  </a:graphic>
                  <wp14:sizeRelH relativeFrom="page">
                    <wp14:pctWidth>0</wp14:pctWidth>
                  </wp14:sizeRelH>
                  <wp14:sizeRelV relativeFrom="page">
                    <wp14:pctHeight>0</wp14:pctHeight>
                  </wp14:sizeRelV>
                </wp:anchor>
              </w:drawing>
            </w:r>
          </w:p>
          <w:p w:rsidR="001E24DF" w:rsidRDefault="001E24DF" w:rsidP="001E24DF">
            <w:pPr>
              <w:rPr>
                <w:sz w:val="20"/>
              </w:rPr>
            </w:pPr>
          </w:p>
          <w:p w:rsidR="001E24DF" w:rsidRDefault="001E24DF" w:rsidP="001E24DF">
            <w:pPr>
              <w:rPr>
                <w:sz w:val="20"/>
              </w:rPr>
            </w:pPr>
          </w:p>
          <w:p w:rsidR="00783817" w:rsidRPr="00362FE9" w:rsidRDefault="00880C0D" w:rsidP="001E24DF">
            <w:pPr>
              <w:rPr>
                <w:sz w:val="20"/>
              </w:rPr>
            </w:pPr>
            <w:r>
              <w:rPr>
                <w:noProof/>
                <w:sz w:val="20"/>
              </w:rPr>
              <w:drawing>
                <wp:anchor distT="0" distB="0" distL="114300" distR="114300" simplePos="0" relativeHeight="251659264" behindDoc="0" locked="0" layoutInCell="1" allowOverlap="1" wp14:anchorId="4D022D8D" wp14:editId="072633A0">
                  <wp:simplePos x="0" y="0"/>
                  <wp:positionH relativeFrom="column">
                    <wp:posOffset>692785</wp:posOffset>
                  </wp:positionH>
                  <wp:positionV relativeFrom="paragraph">
                    <wp:posOffset>36830</wp:posOffset>
                  </wp:positionV>
                  <wp:extent cx="1666875" cy="2840355"/>
                  <wp:effectExtent l="0" t="0" r="9525" b="0"/>
                  <wp:wrapThrough wrapText="bothSides">
                    <wp:wrapPolygon edited="0">
                      <wp:start x="0" y="0"/>
                      <wp:lineTo x="0" y="21441"/>
                      <wp:lineTo x="21477" y="21441"/>
                      <wp:lineTo x="21477"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PP-Kugelsperrbolzen-Edelstahl-K1063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875" cy="2840355"/>
                          </a:xfrm>
                          <a:prstGeom prst="rect">
                            <a:avLst/>
                          </a:prstGeom>
                        </pic:spPr>
                      </pic:pic>
                    </a:graphicData>
                  </a:graphic>
                  <wp14:sizeRelH relativeFrom="page">
                    <wp14:pctWidth>0</wp14:pctWidth>
                  </wp14:sizeRelH>
                  <wp14:sizeRelV relativeFrom="page">
                    <wp14:pctHeight>0</wp14:pctHeight>
                  </wp14:sizeRelV>
                </wp:anchor>
              </w:drawing>
            </w:r>
          </w:p>
        </w:tc>
        <w:tc>
          <w:tcPr>
            <w:tcW w:w="4307" w:type="dxa"/>
          </w:tcPr>
          <w:p w:rsidR="002E55BF" w:rsidRDefault="002E55BF" w:rsidP="00783817">
            <w:pPr>
              <w:rPr>
                <w:sz w:val="20"/>
              </w:rPr>
            </w:pPr>
          </w:p>
          <w:p w:rsidR="001E24DF" w:rsidRDefault="001E24DF" w:rsidP="00783817">
            <w:pPr>
              <w:rPr>
                <w:sz w:val="20"/>
              </w:rPr>
            </w:pPr>
            <w:r>
              <w:rPr>
                <w:sz w:val="20"/>
              </w:rPr>
              <w:t xml:space="preserve">Fichier image : </w:t>
            </w:r>
            <w:r>
              <w:rPr>
                <w:sz w:val="20"/>
              </w:rPr>
              <w:br/>
              <w:t>KIPP-Verrou quart de tour-K 1061.jpg</w:t>
            </w:r>
          </w:p>
          <w:p w:rsidR="001E24DF" w:rsidRDefault="001E24DF" w:rsidP="00783817">
            <w:pPr>
              <w:rPr>
                <w:sz w:val="20"/>
              </w:rPr>
            </w:pPr>
          </w:p>
          <w:p w:rsidR="001E24DF" w:rsidRDefault="001E24DF" w:rsidP="00783817">
            <w:pPr>
              <w:rPr>
                <w:sz w:val="20"/>
              </w:rPr>
            </w:pPr>
          </w:p>
          <w:p w:rsidR="001E24DF" w:rsidRDefault="001E24DF"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880C0D">
            <w:pPr>
              <w:rPr>
                <w:sz w:val="20"/>
              </w:rPr>
            </w:pPr>
          </w:p>
          <w:p w:rsidR="00880C0D" w:rsidRDefault="00880C0D" w:rsidP="00880C0D">
            <w:pPr>
              <w:rPr>
                <w:sz w:val="20"/>
              </w:rPr>
            </w:pPr>
          </w:p>
          <w:p w:rsidR="00880C0D" w:rsidRDefault="00880C0D" w:rsidP="00880C0D">
            <w:pPr>
              <w:rPr>
                <w:sz w:val="20"/>
              </w:rPr>
            </w:pPr>
          </w:p>
          <w:p w:rsidR="00880C0D" w:rsidRDefault="00880C0D" w:rsidP="00880C0D">
            <w:pPr>
              <w:rPr>
                <w:sz w:val="20"/>
              </w:rPr>
            </w:pPr>
          </w:p>
          <w:p w:rsidR="00880C0D" w:rsidRDefault="00880C0D" w:rsidP="00880C0D">
            <w:pPr>
              <w:rPr>
                <w:sz w:val="20"/>
              </w:rPr>
            </w:pPr>
            <w:r>
              <w:rPr>
                <w:sz w:val="20"/>
              </w:rPr>
              <w:t xml:space="preserve">Fichier image : </w:t>
            </w:r>
            <w:r>
              <w:rPr>
                <w:sz w:val="20"/>
              </w:rPr>
              <w:br/>
              <w:t>KIPP-Goupille d'arrêt en inox-K 1063.jpg</w:t>
            </w:r>
          </w:p>
          <w:p w:rsidR="00880C0D" w:rsidRDefault="00880C0D" w:rsidP="00783817">
            <w:pPr>
              <w:rPr>
                <w:sz w:val="20"/>
              </w:rPr>
            </w:pPr>
          </w:p>
          <w:p w:rsidR="00783817" w:rsidRPr="00ED01E4" w:rsidRDefault="00783817" w:rsidP="004C73C7">
            <w:pPr>
              <w:rPr>
                <w:sz w:val="20"/>
              </w:rPr>
            </w:pPr>
          </w:p>
        </w:tc>
      </w:tr>
    </w:tbl>
    <w:p w:rsidR="00E9235E" w:rsidRDefault="00E9235E" w:rsidP="00E9235E">
      <w:pPr>
        <w:ind w:left="-79"/>
        <w:rPr>
          <w:sz w:val="16"/>
          <w:szCs w:val="16"/>
        </w:rPr>
      </w:pPr>
    </w:p>
    <w:p w:rsidR="00E9235E" w:rsidRDefault="00E9235E" w:rsidP="00E9235E">
      <w:pPr>
        <w:ind w:left="-79"/>
        <w:rPr>
          <w:sz w:val="16"/>
          <w:szCs w:val="16"/>
        </w:rPr>
      </w:pPr>
    </w:p>
    <w:p w:rsidR="00E9235E" w:rsidRPr="005D608E" w:rsidRDefault="00E9235E" w:rsidP="00E9235E">
      <w:pPr>
        <w:ind w:left="-79"/>
        <w:rPr>
          <w:sz w:val="16"/>
          <w:szCs w:val="16"/>
          <w:lang w:val="en-US"/>
        </w:rPr>
      </w:pPr>
      <w:r w:rsidRPr="005D608E">
        <w:rPr>
          <w:sz w:val="16"/>
          <w:szCs w:val="16"/>
          <w:lang w:val="en-US"/>
        </w:rPr>
        <w:t xml:space="preserve">Droits </w:t>
      </w:r>
      <w:proofErr w:type="gramStart"/>
      <w:r w:rsidRPr="005D608E">
        <w:rPr>
          <w:sz w:val="16"/>
          <w:szCs w:val="16"/>
          <w:lang w:val="en-US"/>
        </w:rPr>
        <w:t>iconographiques :</w:t>
      </w:r>
      <w:proofErr w:type="gramEnd"/>
      <w:r w:rsidRPr="005D608E">
        <w:rPr>
          <w:sz w:val="16"/>
          <w:szCs w:val="16"/>
          <w:lang w:val="en-US"/>
        </w:rPr>
        <w:t xml:space="preserve"> publication gratuite et libre de droits dans les médias spécialisés. </w:t>
      </w:r>
    </w:p>
    <w:p w:rsidR="00E9235E" w:rsidRPr="005D608E" w:rsidRDefault="00E9235E" w:rsidP="00E9235E">
      <w:pPr>
        <w:ind w:left="-79"/>
        <w:rPr>
          <w:sz w:val="16"/>
          <w:szCs w:val="16"/>
          <w:lang w:val="en-US"/>
        </w:rPr>
      </w:pPr>
      <w:r w:rsidRPr="005D608E">
        <w:rPr>
          <w:sz w:val="16"/>
          <w:szCs w:val="16"/>
          <w:lang w:val="en-US"/>
        </w:rPr>
        <w:t xml:space="preserve">Avec indication de la source. </w:t>
      </w:r>
      <w:proofErr w:type="gramStart"/>
      <w:r w:rsidRPr="005D608E">
        <w:rPr>
          <w:sz w:val="16"/>
          <w:szCs w:val="16"/>
          <w:lang w:val="en-US"/>
        </w:rPr>
        <w:t>Un</w:t>
      </w:r>
      <w:proofErr w:type="gramEnd"/>
      <w:r w:rsidRPr="005D608E">
        <w:rPr>
          <w:sz w:val="16"/>
          <w:szCs w:val="16"/>
          <w:lang w:val="en-US"/>
        </w:rPr>
        <w:t xml:space="preserve"> exemplaire justificatif est demandé.</w:t>
      </w:r>
    </w:p>
    <w:p w:rsidR="00783817" w:rsidRPr="005D608E" w:rsidRDefault="00783817" w:rsidP="00995CF4">
      <w:pPr>
        <w:rPr>
          <w:lang w:val="en-US"/>
        </w:rPr>
      </w:pPr>
    </w:p>
    <w:sectPr w:rsidR="00783817" w:rsidRPr="005D608E" w:rsidSect="00783817">
      <w:footerReference w:type="default" r:id="rId12"/>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53E" w:rsidRDefault="0060353E">
      <w:r>
        <w:separator/>
      </w:r>
    </w:p>
  </w:endnote>
  <w:endnote w:type="continuationSeparator" w:id="0">
    <w:p w:rsidR="0060353E" w:rsidRDefault="0060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D608E">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53E" w:rsidRDefault="0060353E">
      <w:r>
        <w:separator/>
      </w:r>
    </w:p>
  </w:footnote>
  <w:footnote w:type="continuationSeparator" w:id="0">
    <w:p w:rsidR="0060353E" w:rsidRDefault="00603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4DFD1E06"/>
    <w:multiLevelType w:val="hybridMultilevel"/>
    <w:tmpl w:val="4A6EE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3814EF6"/>
    <w:multiLevelType w:val="hybridMultilevel"/>
    <w:tmpl w:val="E6F02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4BB5AF4"/>
    <w:multiLevelType w:val="hybridMultilevel"/>
    <w:tmpl w:val="D4AE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41631"/>
    <w:rsid w:val="0004350D"/>
    <w:rsid w:val="00047AF7"/>
    <w:rsid w:val="000677CA"/>
    <w:rsid w:val="00075035"/>
    <w:rsid w:val="0007682D"/>
    <w:rsid w:val="0009007F"/>
    <w:rsid w:val="000A1305"/>
    <w:rsid w:val="000A6FAB"/>
    <w:rsid w:val="000C2BCB"/>
    <w:rsid w:val="001339DE"/>
    <w:rsid w:val="001558D4"/>
    <w:rsid w:val="00170813"/>
    <w:rsid w:val="00173AD9"/>
    <w:rsid w:val="001C5D12"/>
    <w:rsid w:val="001E24DF"/>
    <w:rsid w:val="001E6E62"/>
    <w:rsid w:val="00210153"/>
    <w:rsid w:val="00210655"/>
    <w:rsid w:val="00217B1E"/>
    <w:rsid w:val="002236BE"/>
    <w:rsid w:val="00245D33"/>
    <w:rsid w:val="002A7725"/>
    <w:rsid w:val="002D01F7"/>
    <w:rsid w:val="002D7C6C"/>
    <w:rsid w:val="002D7CA9"/>
    <w:rsid w:val="002E55BF"/>
    <w:rsid w:val="0032684C"/>
    <w:rsid w:val="003376F5"/>
    <w:rsid w:val="00340F66"/>
    <w:rsid w:val="00344FF7"/>
    <w:rsid w:val="00354682"/>
    <w:rsid w:val="00387BA4"/>
    <w:rsid w:val="00392FF3"/>
    <w:rsid w:val="003A357B"/>
    <w:rsid w:val="003A56CD"/>
    <w:rsid w:val="004050D9"/>
    <w:rsid w:val="00415C62"/>
    <w:rsid w:val="00436AD4"/>
    <w:rsid w:val="004375D2"/>
    <w:rsid w:val="00437AAF"/>
    <w:rsid w:val="00444C4B"/>
    <w:rsid w:val="00451752"/>
    <w:rsid w:val="0045707C"/>
    <w:rsid w:val="00457263"/>
    <w:rsid w:val="00462F92"/>
    <w:rsid w:val="004711A8"/>
    <w:rsid w:val="00477127"/>
    <w:rsid w:val="0048326A"/>
    <w:rsid w:val="00493A7E"/>
    <w:rsid w:val="00496518"/>
    <w:rsid w:val="004B015B"/>
    <w:rsid w:val="004C2291"/>
    <w:rsid w:val="004C73C7"/>
    <w:rsid w:val="004D0C49"/>
    <w:rsid w:val="004E2B65"/>
    <w:rsid w:val="004F3026"/>
    <w:rsid w:val="005100EC"/>
    <w:rsid w:val="00511834"/>
    <w:rsid w:val="00532959"/>
    <w:rsid w:val="00565549"/>
    <w:rsid w:val="005775FC"/>
    <w:rsid w:val="005904DC"/>
    <w:rsid w:val="005919DB"/>
    <w:rsid w:val="00595330"/>
    <w:rsid w:val="005963ED"/>
    <w:rsid w:val="005A5A84"/>
    <w:rsid w:val="005D364B"/>
    <w:rsid w:val="005D608E"/>
    <w:rsid w:val="0060353E"/>
    <w:rsid w:val="00633926"/>
    <w:rsid w:val="0064142E"/>
    <w:rsid w:val="00645C6A"/>
    <w:rsid w:val="00645FBD"/>
    <w:rsid w:val="00650EB8"/>
    <w:rsid w:val="00677302"/>
    <w:rsid w:val="006D2823"/>
    <w:rsid w:val="006E09D7"/>
    <w:rsid w:val="006E0C2F"/>
    <w:rsid w:val="006E623B"/>
    <w:rsid w:val="006E7A95"/>
    <w:rsid w:val="00702654"/>
    <w:rsid w:val="00713FCC"/>
    <w:rsid w:val="00714658"/>
    <w:rsid w:val="00720203"/>
    <w:rsid w:val="00721B9E"/>
    <w:rsid w:val="00730563"/>
    <w:rsid w:val="00744C8F"/>
    <w:rsid w:val="00750483"/>
    <w:rsid w:val="00752AA9"/>
    <w:rsid w:val="00757F47"/>
    <w:rsid w:val="007612CB"/>
    <w:rsid w:val="00771FBF"/>
    <w:rsid w:val="007819BF"/>
    <w:rsid w:val="00783817"/>
    <w:rsid w:val="00784BA2"/>
    <w:rsid w:val="00786BAF"/>
    <w:rsid w:val="007B482A"/>
    <w:rsid w:val="007C3119"/>
    <w:rsid w:val="007C702A"/>
    <w:rsid w:val="007C720F"/>
    <w:rsid w:val="007D29BC"/>
    <w:rsid w:val="00826BCD"/>
    <w:rsid w:val="00830DFD"/>
    <w:rsid w:val="00833B58"/>
    <w:rsid w:val="0085071C"/>
    <w:rsid w:val="00856392"/>
    <w:rsid w:val="00866A85"/>
    <w:rsid w:val="00873431"/>
    <w:rsid w:val="00875338"/>
    <w:rsid w:val="008762E2"/>
    <w:rsid w:val="00880C0D"/>
    <w:rsid w:val="00883042"/>
    <w:rsid w:val="008838A1"/>
    <w:rsid w:val="008A0B9F"/>
    <w:rsid w:val="008B7C23"/>
    <w:rsid w:val="008C0F4C"/>
    <w:rsid w:val="008D7E82"/>
    <w:rsid w:val="009019DA"/>
    <w:rsid w:val="00904DC9"/>
    <w:rsid w:val="009050B6"/>
    <w:rsid w:val="00932FB1"/>
    <w:rsid w:val="00950FAE"/>
    <w:rsid w:val="0095515C"/>
    <w:rsid w:val="00964F99"/>
    <w:rsid w:val="00967469"/>
    <w:rsid w:val="00995CF4"/>
    <w:rsid w:val="009A0892"/>
    <w:rsid w:val="009A3246"/>
    <w:rsid w:val="009C604A"/>
    <w:rsid w:val="009D3D97"/>
    <w:rsid w:val="009F2B30"/>
    <w:rsid w:val="00A03950"/>
    <w:rsid w:val="00A1521C"/>
    <w:rsid w:val="00A16E43"/>
    <w:rsid w:val="00A203F2"/>
    <w:rsid w:val="00A22BCF"/>
    <w:rsid w:val="00A372BE"/>
    <w:rsid w:val="00A3733C"/>
    <w:rsid w:val="00A3789F"/>
    <w:rsid w:val="00A42E0D"/>
    <w:rsid w:val="00A60D1F"/>
    <w:rsid w:val="00A6226B"/>
    <w:rsid w:val="00A625AF"/>
    <w:rsid w:val="00AA3FDA"/>
    <w:rsid w:val="00AA4DEC"/>
    <w:rsid w:val="00AE0177"/>
    <w:rsid w:val="00AE0F46"/>
    <w:rsid w:val="00AF09E0"/>
    <w:rsid w:val="00B45287"/>
    <w:rsid w:val="00B5615C"/>
    <w:rsid w:val="00B70BE5"/>
    <w:rsid w:val="00B856F8"/>
    <w:rsid w:val="00B9359C"/>
    <w:rsid w:val="00B935DF"/>
    <w:rsid w:val="00B97080"/>
    <w:rsid w:val="00BC45FA"/>
    <w:rsid w:val="00BD48E2"/>
    <w:rsid w:val="00BD4B3B"/>
    <w:rsid w:val="00BE3937"/>
    <w:rsid w:val="00BF3FE9"/>
    <w:rsid w:val="00BF5DD4"/>
    <w:rsid w:val="00C0329A"/>
    <w:rsid w:val="00C1736A"/>
    <w:rsid w:val="00C22F84"/>
    <w:rsid w:val="00C5672A"/>
    <w:rsid w:val="00C56C4B"/>
    <w:rsid w:val="00C66253"/>
    <w:rsid w:val="00C873E0"/>
    <w:rsid w:val="00C963CD"/>
    <w:rsid w:val="00CB57AC"/>
    <w:rsid w:val="00CF4E74"/>
    <w:rsid w:val="00D023ED"/>
    <w:rsid w:val="00D12D81"/>
    <w:rsid w:val="00D15E02"/>
    <w:rsid w:val="00D26E01"/>
    <w:rsid w:val="00D34483"/>
    <w:rsid w:val="00D34C62"/>
    <w:rsid w:val="00D610DD"/>
    <w:rsid w:val="00D87AD0"/>
    <w:rsid w:val="00D96057"/>
    <w:rsid w:val="00DA6035"/>
    <w:rsid w:val="00DB1F32"/>
    <w:rsid w:val="00DD0AFD"/>
    <w:rsid w:val="00DD5E06"/>
    <w:rsid w:val="00DE744E"/>
    <w:rsid w:val="00DF07DA"/>
    <w:rsid w:val="00E11211"/>
    <w:rsid w:val="00E60A84"/>
    <w:rsid w:val="00E60EE7"/>
    <w:rsid w:val="00E6677F"/>
    <w:rsid w:val="00E9235E"/>
    <w:rsid w:val="00EA130D"/>
    <w:rsid w:val="00EA2585"/>
    <w:rsid w:val="00EC00AB"/>
    <w:rsid w:val="00EC5FCB"/>
    <w:rsid w:val="00EE4583"/>
    <w:rsid w:val="00EF0FF1"/>
    <w:rsid w:val="00EF55A9"/>
    <w:rsid w:val="00EF79F9"/>
    <w:rsid w:val="00F0556A"/>
    <w:rsid w:val="00F101F6"/>
    <w:rsid w:val="00F11A6A"/>
    <w:rsid w:val="00F31E3B"/>
    <w:rsid w:val="00F35D12"/>
    <w:rsid w:val="00F83A0E"/>
    <w:rsid w:val="00F84B08"/>
    <w:rsid w:val="00F9400B"/>
    <w:rsid w:val="00FB35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72250C2-618F-4DD3-9F81-F18CCE27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paragraph" w:styleId="Listenabsatz">
    <w:name w:val="List Paragraph"/>
    <w:basedOn w:val="Standard"/>
    <w:uiPriority w:val="34"/>
    <w:qFormat/>
    <w:rsid w:val="00771FB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7142">
      <w:bodyDiv w:val="1"/>
      <w:marLeft w:val="0"/>
      <w:marRight w:val="0"/>
      <w:marTop w:val="0"/>
      <w:marBottom w:val="0"/>
      <w:divBdr>
        <w:top w:val="none" w:sz="0" w:space="0" w:color="auto"/>
        <w:left w:val="none" w:sz="0" w:space="0" w:color="auto"/>
        <w:bottom w:val="none" w:sz="0" w:space="0" w:color="auto"/>
        <w:right w:val="none" w:sz="0" w:space="0" w:color="auto"/>
      </w:divBdr>
    </w:div>
    <w:div w:id="327096929">
      <w:bodyDiv w:val="1"/>
      <w:marLeft w:val="0"/>
      <w:marRight w:val="0"/>
      <w:marTop w:val="0"/>
      <w:marBottom w:val="0"/>
      <w:divBdr>
        <w:top w:val="none" w:sz="0" w:space="0" w:color="auto"/>
        <w:left w:val="none" w:sz="0" w:space="0" w:color="auto"/>
        <w:bottom w:val="none" w:sz="0" w:space="0" w:color="auto"/>
        <w:right w:val="none" w:sz="0" w:space="0" w:color="auto"/>
      </w:divBdr>
    </w:div>
    <w:div w:id="344794943">
      <w:bodyDiv w:val="1"/>
      <w:marLeft w:val="0"/>
      <w:marRight w:val="0"/>
      <w:marTop w:val="0"/>
      <w:marBottom w:val="0"/>
      <w:divBdr>
        <w:top w:val="none" w:sz="0" w:space="0" w:color="auto"/>
        <w:left w:val="none" w:sz="0" w:space="0" w:color="auto"/>
        <w:bottom w:val="none" w:sz="0" w:space="0" w:color="auto"/>
        <w:right w:val="none" w:sz="0" w:space="0" w:color="auto"/>
      </w:divBdr>
    </w:div>
    <w:div w:id="811407339">
      <w:bodyDiv w:val="1"/>
      <w:marLeft w:val="0"/>
      <w:marRight w:val="0"/>
      <w:marTop w:val="0"/>
      <w:marBottom w:val="0"/>
      <w:divBdr>
        <w:top w:val="none" w:sz="0" w:space="0" w:color="auto"/>
        <w:left w:val="none" w:sz="0" w:space="0" w:color="auto"/>
        <w:bottom w:val="none" w:sz="0" w:space="0" w:color="auto"/>
        <w:right w:val="none" w:sz="0" w:space="0" w:color="auto"/>
      </w:divBdr>
    </w:div>
    <w:div w:id="1270427715">
      <w:bodyDiv w:val="1"/>
      <w:marLeft w:val="0"/>
      <w:marRight w:val="0"/>
      <w:marTop w:val="0"/>
      <w:marBottom w:val="0"/>
      <w:divBdr>
        <w:top w:val="none" w:sz="0" w:space="0" w:color="auto"/>
        <w:left w:val="none" w:sz="0" w:space="0" w:color="auto"/>
        <w:bottom w:val="none" w:sz="0" w:space="0" w:color="auto"/>
        <w:right w:val="none" w:sz="0" w:space="0" w:color="auto"/>
      </w:divBdr>
    </w:div>
    <w:div w:id="1577545709">
      <w:bodyDiv w:val="1"/>
      <w:marLeft w:val="0"/>
      <w:marRight w:val="0"/>
      <w:marTop w:val="0"/>
      <w:marBottom w:val="0"/>
      <w:divBdr>
        <w:top w:val="none" w:sz="0" w:space="0" w:color="auto"/>
        <w:left w:val="none" w:sz="0" w:space="0" w:color="auto"/>
        <w:bottom w:val="none" w:sz="0" w:space="0" w:color="auto"/>
        <w:right w:val="none" w:sz="0" w:space="0" w:color="auto"/>
      </w:divBdr>
    </w:div>
    <w:div w:id="2110856062">
      <w:bodyDiv w:val="1"/>
      <w:marLeft w:val="0"/>
      <w:marRight w:val="0"/>
      <w:marTop w:val="0"/>
      <w:marBottom w:val="0"/>
      <w:divBdr>
        <w:top w:val="none" w:sz="0" w:space="0" w:color="auto"/>
        <w:left w:val="none" w:sz="0" w:space="0" w:color="auto"/>
        <w:bottom w:val="none" w:sz="0" w:space="0" w:color="auto"/>
        <w:right w:val="none" w:sz="0" w:space="0" w:color="auto"/>
      </w:divBdr>
    </w:div>
    <w:div w:id="21155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tefanie.beck@kip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23F85-2751-47BE-BF9E-233F1CA1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50731663.dotm</Template>
  <TotalTime>0</TotalTime>
  <Pages>2</Pages>
  <Words>451</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2959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4</cp:revision>
  <cp:lastPrinted>2017-02-10T12:34:00Z</cp:lastPrinted>
  <dcterms:created xsi:type="dcterms:W3CDTF">2017-03-02T16:12:00Z</dcterms:created>
  <dcterms:modified xsi:type="dcterms:W3CDTF">2017-04-03T12:49:00Z</dcterms:modified>
</cp:coreProperties>
</file>