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7" w:rsidRPr="009A7F0D" w:rsidRDefault="004617D0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 xml:space="preserve">Sulz am Neckar, </w:t>
      </w:r>
      <w:proofErr w:type="spellStart"/>
      <w:r>
        <w:rPr>
          <w:b w:val="0"/>
          <w:sz w:val="22"/>
          <w:szCs w:val="22"/>
        </w:rPr>
        <w:t>février</w:t>
      </w:r>
      <w:proofErr w:type="spellEnd"/>
      <w:r>
        <w:rPr>
          <w:b w:val="0"/>
          <w:sz w:val="22"/>
          <w:szCs w:val="22"/>
        </w:rPr>
        <w:t xml:space="preserve">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4711A8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Une gamme de produits élargie intelligemment</w:t>
      </w:r>
    </w:p>
    <w:p w:rsidR="00A3733C" w:rsidRDefault="004711A8" w:rsidP="00EC00AB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>KIPP présente ses glissières télescopiques à billes en inox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210655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Avec </w:t>
      </w:r>
      <w:proofErr w:type="spellStart"/>
      <w:r>
        <w:rPr>
          <w:b/>
          <w:bCs/>
          <w:sz w:val="22"/>
          <w:szCs w:val="22"/>
        </w:rPr>
        <w:t>son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nouveau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profil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glissière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télescopique</w:t>
      </w:r>
      <w:proofErr w:type="spellEnd"/>
      <w:r>
        <w:rPr>
          <w:b/>
          <w:bCs/>
          <w:sz w:val="22"/>
          <w:szCs w:val="22"/>
        </w:rPr>
        <w:t xml:space="preserve"> à </w:t>
      </w:r>
      <w:proofErr w:type="spellStart"/>
      <w:r>
        <w:rPr>
          <w:b/>
          <w:bCs/>
          <w:sz w:val="22"/>
          <w:szCs w:val="22"/>
        </w:rPr>
        <w:t>billes</w:t>
      </w:r>
      <w:proofErr w:type="spellEnd"/>
      <w:r>
        <w:rPr>
          <w:b/>
          <w:bCs/>
          <w:sz w:val="22"/>
          <w:szCs w:val="22"/>
        </w:rPr>
        <w:t xml:space="preserve"> en acier et inox, la </w:t>
      </w:r>
      <w:proofErr w:type="spellStart"/>
      <w:r>
        <w:rPr>
          <w:b/>
          <w:bCs/>
          <w:sz w:val="22"/>
          <w:szCs w:val="22"/>
        </w:rPr>
        <w:t>société</w:t>
      </w:r>
      <w:proofErr w:type="spellEnd"/>
      <w:r>
        <w:rPr>
          <w:b/>
          <w:bCs/>
          <w:sz w:val="22"/>
          <w:szCs w:val="22"/>
        </w:rPr>
        <w:t xml:space="preserve"> HEINRICH KIPP WERK </w:t>
      </w:r>
      <w:proofErr w:type="spellStart"/>
      <w:r>
        <w:rPr>
          <w:b/>
          <w:bCs/>
          <w:sz w:val="22"/>
          <w:szCs w:val="22"/>
        </w:rPr>
        <w:t>présente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ex</w:t>
      </w:r>
      <w:r w:rsidR="00CD5267">
        <w:rPr>
          <w:b/>
          <w:bCs/>
          <w:sz w:val="22"/>
          <w:szCs w:val="22"/>
        </w:rPr>
        <w:t>tension</w:t>
      </w:r>
      <w:proofErr w:type="spellEnd"/>
      <w:r w:rsidR="00CD5267">
        <w:rPr>
          <w:b/>
          <w:bCs/>
          <w:sz w:val="22"/>
          <w:szCs w:val="22"/>
        </w:rPr>
        <w:t xml:space="preserve"> de </w:t>
      </w:r>
      <w:proofErr w:type="spellStart"/>
      <w:r w:rsidR="00CD5267">
        <w:rPr>
          <w:b/>
          <w:bCs/>
          <w:sz w:val="22"/>
          <w:szCs w:val="22"/>
        </w:rPr>
        <w:t>sa</w:t>
      </w:r>
      <w:proofErr w:type="spellEnd"/>
      <w:r w:rsidR="00CD5267">
        <w:rPr>
          <w:b/>
          <w:bCs/>
          <w:sz w:val="22"/>
          <w:szCs w:val="22"/>
        </w:rPr>
        <w:t xml:space="preserve"> gamme de produits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qui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s'avère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être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solution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parfaite</w:t>
      </w:r>
      <w:proofErr w:type="spellEnd"/>
      <w:r w:rsidR="00CD526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en </w:t>
      </w:r>
      <w:proofErr w:type="spellStart"/>
      <w:r>
        <w:rPr>
          <w:b/>
          <w:bCs/>
          <w:sz w:val="22"/>
          <w:szCs w:val="22"/>
        </w:rPr>
        <w:t>particulier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dans</w:t>
      </w:r>
      <w:proofErr w:type="spellEnd"/>
      <w:r>
        <w:rPr>
          <w:b/>
          <w:bCs/>
          <w:sz w:val="22"/>
          <w:szCs w:val="22"/>
        </w:rPr>
        <w:t xml:space="preserve"> le domaine de la technique de machines</w:t>
      </w:r>
      <w:r w:rsidR="00CD526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lorsqu'elle </w:t>
      </w:r>
      <w:proofErr w:type="spellStart"/>
      <w:r>
        <w:rPr>
          <w:b/>
          <w:bCs/>
          <w:sz w:val="22"/>
          <w:szCs w:val="22"/>
        </w:rPr>
        <w:t>est</w:t>
      </w:r>
      <w:proofErr w:type="spellEnd"/>
      <w:r>
        <w:rPr>
          <w:b/>
          <w:bCs/>
          <w:sz w:val="22"/>
          <w:szCs w:val="22"/>
        </w:rPr>
        <w:t xml:space="preserve"> utilisée à proximité des denrées alimentaires.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721B9E" w:rsidRPr="00A3789F" w:rsidRDefault="00721B9E" w:rsidP="00DA6035">
      <w:pPr>
        <w:spacing w:line="276" w:lineRule="auto"/>
        <w:rPr>
          <w:sz w:val="22"/>
          <w:szCs w:val="22"/>
        </w:rPr>
      </w:pPr>
    </w:p>
    <w:p w:rsidR="00967469" w:rsidRPr="00CD5267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  <w:r w:rsidRPr="00CD5267">
        <w:rPr>
          <w:rFonts w:eastAsia="Times New Roman"/>
          <w:bCs/>
          <w:szCs w:val="22"/>
          <w:lang w:val="en-US"/>
        </w:rPr>
        <w:t xml:space="preserve">Une manipulation facile ainsi qu'une stabilité </w:t>
      </w:r>
      <w:proofErr w:type="gramStart"/>
      <w:r w:rsidRPr="00CD5267">
        <w:rPr>
          <w:rFonts w:eastAsia="Times New Roman"/>
          <w:bCs/>
          <w:szCs w:val="22"/>
          <w:lang w:val="en-US"/>
        </w:rPr>
        <w:t>et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une durabilité élevées constituent les caractéristiques principales des glissières télescopiques à billes KIPP. Cette gamme </w:t>
      </w:r>
      <w:proofErr w:type="gramStart"/>
      <w:r w:rsidRPr="00CD5267">
        <w:rPr>
          <w:rFonts w:eastAsia="Times New Roman"/>
          <w:bCs/>
          <w:szCs w:val="22"/>
          <w:lang w:val="en-US"/>
        </w:rPr>
        <w:t>est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désormais enrichie d'un nouveau profilé de glissière en acier et inox afin de pouvoir satisfaire </w:t>
      </w:r>
      <w:r w:rsidR="00CD5267" w:rsidRPr="00CD5267">
        <w:rPr>
          <w:rFonts w:eastAsia="Times New Roman"/>
          <w:bCs/>
          <w:szCs w:val="22"/>
          <w:lang w:val="en-US"/>
        </w:rPr>
        <w:t>à l'avenir</w:t>
      </w:r>
      <w:r w:rsidR="00CD5267" w:rsidRPr="00CD5267">
        <w:rPr>
          <w:rFonts w:eastAsia="Times New Roman"/>
          <w:bCs/>
          <w:szCs w:val="22"/>
          <w:lang w:val="en-US"/>
        </w:rPr>
        <w:t xml:space="preserve"> </w:t>
      </w:r>
      <w:r w:rsidRPr="00CD5267">
        <w:rPr>
          <w:rFonts w:eastAsia="Times New Roman"/>
          <w:bCs/>
          <w:szCs w:val="22"/>
          <w:lang w:val="en-US"/>
        </w:rPr>
        <w:t xml:space="preserve">aux exigences spécifiques de ce large groupe d'utilisateurs de manière encore plus précise. </w:t>
      </w:r>
    </w:p>
    <w:p w:rsidR="00967469" w:rsidRPr="00CD5267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  <w:r w:rsidRPr="00CD5267">
        <w:rPr>
          <w:rFonts w:eastAsia="Times New Roman"/>
          <w:bCs/>
          <w:szCs w:val="22"/>
          <w:lang w:val="en-US"/>
        </w:rPr>
        <w:t xml:space="preserve">Les glissières télescopiques KIPP en inox sont de plus en plus souvent utilisées dans la construction de machines </w:t>
      </w:r>
      <w:proofErr w:type="gramStart"/>
      <w:r w:rsidRPr="00CD5267">
        <w:rPr>
          <w:rFonts w:eastAsia="Times New Roman"/>
          <w:bCs/>
          <w:szCs w:val="22"/>
          <w:lang w:val="en-US"/>
        </w:rPr>
        <w:t>et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d'installations. L'utilisation de glissières télescopiques à billes </w:t>
      </w:r>
      <w:proofErr w:type="gramStart"/>
      <w:r w:rsidRPr="00CD5267">
        <w:rPr>
          <w:rFonts w:eastAsia="Times New Roman"/>
          <w:bCs/>
          <w:szCs w:val="22"/>
          <w:lang w:val="en-US"/>
        </w:rPr>
        <w:t>est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également devenue indispensable dans l'industrie automobile et les équipements de dépôts et d'entreprises. </w:t>
      </w:r>
    </w:p>
    <w:p w:rsidR="00210655" w:rsidRPr="00CD5267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  <w:r w:rsidRPr="00CD5267">
        <w:rPr>
          <w:rFonts w:eastAsia="Times New Roman"/>
          <w:bCs/>
          <w:szCs w:val="22"/>
          <w:lang w:val="en-US"/>
        </w:rPr>
        <w:t>L'électromécanique ou la technologie 19" sont d'autres champs d'application pour ces produits.</w:t>
      </w:r>
    </w:p>
    <w:p w:rsidR="00210655" w:rsidRPr="00CD5267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</w:p>
    <w:p w:rsidR="00783817" w:rsidRPr="00CD5267" w:rsidRDefault="00210655" w:rsidP="00210655">
      <w:pPr>
        <w:pStyle w:val="Pressetext"/>
        <w:spacing w:line="276" w:lineRule="auto"/>
        <w:rPr>
          <w:szCs w:val="22"/>
          <w:lang w:val="en-US"/>
        </w:rPr>
      </w:pPr>
      <w:r w:rsidRPr="00CD5267">
        <w:rPr>
          <w:rFonts w:eastAsia="Times New Roman"/>
          <w:bCs/>
          <w:szCs w:val="22"/>
          <w:lang w:val="en-US"/>
        </w:rPr>
        <w:t xml:space="preserve">Le montage rapide </w:t>
      </w:r>
      <w:proofErr w:type="gramStart"/>
      <w:r w:rsidRPr="00CD5267">
        <w:rPr>
          <w:rFonts w:eastAsia="Times New Roman"/>
          <w:bCs/>
          <w:szCs w:val="22"/>
          <w:lang w:val="en-US"/>
        </w:rPr>
        <w:t>et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facile qui peut s'effectuer au moyen de vis ou de rivets est caractéristique de la manipulation de toutes les glissières télescopiques à billes KIPP. Les glissières composées de trois profilés individuels peuvent être reliées directement à des éléments </w:t>
      </w:r>
      <w:proofErr w:type="gramStart"/>
      <w:r w:rsidRPr="00CD5267">
        <w:rPr>
          <w:rFonts w:eastAsia="Times New Roman"/>
          <w:bCs/>
          <w:szCs w:val="22"/>
          <w:lang w:val="en-US"/>
        </w:rPr>
        <w:t>fixes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ou mobiles. Dès leur première utilisation, les glissières télescopiques à billes KIPP remplissent leur fonction d'ouverture </w:t>
      </w:r>
      <w:proofErr w:type="gramStart"/>
      <w:r w:rsidRPr="00CD5267">
        <w:rPr>
          <w:rFonts w:eastAsia="Times New Roman"/>
          <w:bCs/>
          <w:szCs w:val="22"/>
          <w:lang w:val="en-US"/>
        </w:rPr>
        <w:t>et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de fermeture avec une grande fiabilité et une excellente mobilité. </w:t>
      </w:r>
      <w:proofErr w:type="gramStart"/>
      <w:r w:rsidRPr="00CD5267">
        <w:rPr>
          <w:rFonts w:eastAsia="Times New Roman"/>
          <w:bCs/>
          <w:szCs w:val="22"/>
          <w:lang w:val="en-US"/>
        </w:rPr>
        <w:t>Un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pré-traitement avec une graisse spéciale garantit une longévité extrême et une absence presque totale d'entretien. Même en présence d'une charge admissible maximale </w:t>
      </w:r>
      <w:proofErr w:type="gramStart"/>
      <w:r w:rsidRPr="00CD5267">
        <w:rPr>
          <w:rFonts w:eastAsia="Times New Roman"/>
          <w:bCs/>
          <w:szCs w:val="22"/>
          <w:lang w:val="en-US"/>
        </w:rPr>
        <w:t>et</w:t>
      </w:r>
      <w:proofErr w:type="gramEnd"/>
      <w:r w:rsidRPr="00CD5267">
        <w:rPr>
          <w:rFonts w:eastAsia="Times New Roman"/>
          <w:bCs/>
          <w:szCs w:val="22"/>
          <w:lang w:val="en-US"/>
        </w:rPr>
        <w:t xml:space="preserve"> lorsqu'elles sont totalement sorties, les glissières télescopiques à billes KIPP offrent une excellente stabilité.</w:t>
      </w:r>
    </w:p>
    <w:p w:rsidR="00783817" w:rsidRPr="00CD5267" w:rsidRDefault="00783817" w:rsidP="00783817">
      <w:pPr>
        <w:pStyle w:val="Pressetext"/>
        <w:rPr>
          <w:lang w:val="en-US"/>
        </w:rPr>
      </w:pPr>
    </w:p>
    <w:p w:rsidR="00783817" w:rsidRPr="00CD5267" w:rsidRDefault="00783817" w:rsidP="00783817">
      <w:pPr>
        <w:rPr>
          <w:rFonts w:cs="Arial"/>
          <w:sz w:val="20"/>
          <w:u w:val="single"/>
          <w:lang w:val="en-US"/>
        </w:rPr>
      </w:pPr>
      <w:r w:rsidRPr="00CD5267">
        <w:rPr>
          <w:rFonts w:cs="Arial"/>
          <w:sz w:val="20"/>
          <w:u w:val="single"/>
          <w:lang w:val="en-US"/>
        </w:rPr>
        <w:t xml:space="preserve">Nombre de caractères espaces </w:t>
      </w:r>
      <w:proofErr w:type="gramStart"/>
      <w:r w:rsidRPr="00CD5267">
        <w:rPr>
          <w:rFonts w:cs="Arial"/>
          <w:sz w:val="20"/>
          <w:u w:val="single"/>
          <w:lang w:val="en-US"/>
        </w:rPr>
        <w:t>inclus :</w:t>
      </w:r>
      <w:proofErr w:type="gramEnd"/>
    </w:p>
    <w:p w:rsidR="00783817" w:rsidRPr="00CD5267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CD5267">
        <w:rPr>
          <w:rFonts w:cs="Arial"/>
          <w:sz w:val="20"/>
          <w:lang w:val="en-US"/>
        </w:rPr>
        <w:t>Titre :</w:t>
      </w:r>
      <w:proofErr w:type="gramEnd"/>
      <w:r w:rsidRPr="00CD5267">
        <w:rPr>
          <w:rFonts w:cs="Arial"/>
          <w:sz w:val="20"/>
          <w:lang w:val="en-US"/>
        </w:rPr>
        <w:tab/>
      </w:r>
      <w:r w:rsidR="00374E78">
        <w:rPr>
          <w:rFonts w:cs="Arial"/>
          <w:sz w:val="20"/>
          <w:lang w:val="en-US"/>
        </w:rPr>
        <w:t>59</w:t>
      </w:r>
      <w:r w:rsidRPr="00CD5267">
        <w:rPr>
          <w:rFonts w:cs="Arial"/>
          <w:sz w:val="20"/>
          <w:lang w:val="en-US"/>
        </w:rPr>
        <w:t> caractères</w:t>
      </w:r>
    </w:p>
    <w:p w:rsidR="00783817" w:rsidRPr="00CD5267" w:rsidRDefault="00EA130D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CD5267">
        <w:rPr>
          <w:rFonts w:cs="Arial"/>
          <w:sz w:val="20"/>
          <w:lang w:val="en-US"/>
        </w:rPr>
        <w:t>Pré-</w:t>
      </w:r>
      <w:proofErr w:type="gramStart"/>
      <w:r w:rsidRPr="00CD5267">
        <w:rPr>
          <w:rFonts w:cs="Arial"/>
          <w:sz w:val="20"/>
          <w:lang w:val="en-US"/>
        </w:rPr>
        <w:t>titre :</w:t>
      </w:r>
      <w:proofErr w:type="gramEnd"/>
      <w:r w:rsidRPr="00CD5267">
        <w:rPr>
          <w:rFonts w:cs="Arial"/>
          <w:sz w:val="20"/>
          <w:lang w:val="en-US"/>
        </w:rPr>
        <w:tab/>
      </w:r>
      <w:r w:rsidR="00374E78">
        <w:rPr>
          <w:rFonts w:cs="Arial"/>
          <w:sz w:val="20"/>
          <w:lang w:val="en-US"/>
        </w:rPr>
        <w:t>44</w:t>
      </w:r>
      <w:r w:rsidRPr="00CD5267">
        <w:rPr>
          <w:rFonts w:cs="Arial"/>
          <w:sz w:val="20"/>
          <w:lang w:val="en-US"/>
        </w:rPr>
        <w:t> caractères</w:t>
      </w:r>
    </w:p>
    <w:p w:rsidR="00783817" w:rsidRPr="00CD5267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CD5267">
        <w:rPr>
          <w:rFonts w:cs="Arial"/>
          <w:sz w:val="20"/>
          <w:lang w:val="en-US"/>
        </w:rPr>
        <w:t>Texte :</w:t>
      </w:r>
      <w:proofErr w:type="gramEnd"/>
      <w:r w:rsidRPr="00CD5267">
        <w:rPr>
          <w:rFonts w:cs="Arial"/>
          <w:sz w:val="20"/>
          <w:lang w:val="en-US"/>
        </w:rPr>
        <w:tab/>
        <w:t>1 </w:t>
      </w:r>
      <w:r w:rsidR="00374E78">
        <w:rPr>
          <w:rFonts w:cs="Arial"/>
          <w:sz w:val="20"/>
          <w:lang w:val="en-US"/>
        </w:rPr>
        <w:t>843</w:t>
      </w:r>
      <w:r w:rsidRPr="00CD5267">
        <w:rPr>
          <w:rFonts w:cs="Arial"/>
          <w:sz w:val="20"/>
          <w:lang w:val="en-US"/>
        </w:rPr>
        <w:t> caractères</w:t>
      </w:r>
    </w:p>
    <w:p w:rsidR="00783817" w:rsidRPr="00CD5267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CD5267">
        <w:rPr>
          <w:rFonts w:cs="Arial"/>
          <w:sz w:val="20"/>
          <w:lang w:val="en-US"/>
        </w:rPr>
        <w:t>Total :</w:t>
      </w:r>
      <w:proofErr w:type="gramEnd"/>
      <w:r w:rsidRPr="00CD5267">
        <w:rPr>
          <w:rFonts w:cs="Arial"/>
          <w:sz w:val="20"/>
          <w:lang w:val="en-US"/>
        </w:rPr>
        <w:tab/>
        <w:t>1 </w:t>
      </w:r>
      <w:r w:rsidR="00374E78">
        <w:rPr>
          <w:rFonts w:cs="Arial"/>
          <w:sz w:val="20"/>
          <w:lang w:val="en-US"/>
        </w:rPr>
        <w:t>946</w:t>
      </w:r>
      <w:r w:rsidRPr="00CD5267">
        <w:rPr>
          <w:rFonts w:cs="Arial"/>
          <w:sz w:val="20"/>
          <w:lang w:val="en-US"/>
        </w:rPr>
        <w:t> caractères</w:t>
      </w:r>
    </w:p>
    <w:p w:rsidR="00783817" w:rsidRPr="00CD5267" w:rsidRDefault="00783817" w:rsidP="00783817">
      <w:pPr>
        <w:rPr>
          <w:rFonts w:cs="Arial"/>
          <w:sz w:val="20"/>
          <w:lang w:val="en-US"/>
        </w:rPr>
      </w:pPr>
    </w:p>
    <w:p w:rsidR="00783817" w:rsidRPr="00CD5267" w:rsidRDefault="00783817" w:rsidP="00783817">
      <w:pPr>
        <w:pStyle w:val="Pressetext"/>
        <w:rPr>
          <w:lang w:val="en-US"/>
        </w:rPr>
      </w:pPr>
    </w:p>
    <w:p w:rsidR="00783817" w:rsidRPr="00CD5267" w:rsidRDefault="00AE0177" w:rsidP="00AE0177">
      <w:pPr>
        <w:pStyle w:val="Pressetext"/>
        <w:rPr>
          <w:rFonts w:cs="Arial"/>
          <w:sz w:val="20"/>
          <w:lang w:val="en-US"/>
        </w:rPr>
      </w:pPr>
      <w:r w:rsidRPr="00CD5267">
        <w:rPr>
          <w:lang w:val="en-US"/>
        </w:rPr>
        <w:br w:type="page"/>
      </w:r>
      <w:r w:rsidRPr="00CD5267">
        <w:rPr>
          <w:rFonts w:cs="Arial"/>
          <w:sz w:val="20"/>
          <w:lang w:val="en-US"/>
        </w:rPr>
        <w:lastRenderedPageBreak/>
        <w:t>HEINRICH KIPP WERK KG</w:t>
      </w:r>
    </w:p>
    <w:p w:rsidR="00783817" w:rsidRPr="00CD5267" w:rsidRDefault="00783817" w:rsidP="00783817">
      <w:pPr>
        <w:rPr>
          <w:rFonts w:cs="Arial"/>
          <w:sz w:val="20"/>
          <w:lang w:val="en-US"/>
        </w:rPr>
      </w:pPr>
      <w:r w:rsidRPr="00CD5267">
        <w:rPr>
          <w:rFonts w:cs="Arial"/>
          <w:sz w:val="20"/>
          <w:lang w:val="en-US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Téléphone : 07454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 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CD5267" w:rsidRDefault="00783817" w:rsidP="00783817">
      <w:pPr>
        <w:pStyle w:val="berschrift3"/>
        <w:rPr>
          <w:lang w:val="en-US"/>
        </w:rPr>
      </w:pPr>
      <w:r w:rsidRPr="00CD5267">
        <w:rPr>
          <w:lang w:val="en-US"/>
        </w:rPr>
        <w:t>Information</w:t>
      </w:r>
      <w:r w:rsidR="00376BCF">
        <w:rPr>
          <w:lang w:val="en-US"/>
        </w:rPr>
        <w:t>s</w:t>
      </w:r>
      <w:bookmarkStart w:id="0" w:name="_GoBack"/>
      <w:bookmarkEnd w:id="0"/>
      <w:r w:rsidRPr="00CD5267">
        <w:rPr>
          <w:lang w:val="en-US"/>
        </w:rPr>
        <w:t xml:space="preserve"> supplémentaires et photos de presse</w:t>
      </w:r>
    </w:p>
    <w:p w:rsidR="00783817" w:rsidRPr="00CD5267" w:rsidRDefault="00783817" w:rsidP="00783817">
      <w:pPr>
        <w:rPr>
          <w:sz w:val="20"/>
          <w:lang w:val="en-US"/>
        </w:rPr>
      </w:pPr>
      <w:r w:rsidRPr="00CD5267">
        <w:rPr>
          <w:sz w:val="20"/>
          <w:lang w:val="en-US"/>
        </w:rPr>
        <w:t xml:space="preserve">Voir www.kipp.com, </w:t>
      </w:r>
      <w:proofErr w:type="gramStart"/>
      <w:r w:rsidRPr="00CD5267">
        <w:rPr>
          <w:sz w:val="20"/>
          <w:lang w:val="en-US"/>
        </w:rPr>
        <w:t>région :</w:t>
      </w:r>
      <w:proofErr w:type="gramEnd"/>
      <w:r w:rsidRPr="00CD5267">
        <w:rPr>
          <w:sz w:val="20"/>
          <w:lang w:val="en-US"/>
        </w:rPr>
        <w:t xml:space="preserve"> France, rubrique : Actualités/Communiqués de presse</w:t>
      </w:r>
    </w:p>
    <w:p w:rsidR="00783817" w:rsidRPr="00CD5267" w:rsidRDefault="00783817" w:rsidP="00783817">
      <w:pPr>
        <w:rPr>
          <w:sz w:val="20"/>
          <w:lang w:val="en-US"/>
        </w:rPr>
      </w:pPr>
    </w:p>
    <w:p w:rsidR="00783817" w:rsidRPr="00CD5267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CD5267" w:rsidRDefault="00AE0177" w:rsidP="00783817">
      <w:pPr>
        <w:pStyle w:val="berschrift3"/>
        <w:rPr>
          <w:lang w:val="en-US"/>
        </w:rPr>
      </w:pPr>
    </w:p>
    <w:p w:rsidR="00AE0177" w:rsidRPr="00CD5267" w:rsidRDefault="00AE0177" w:rsidP="00783817">
      <w:pPr>
        <w:pStyle w:val="berschrift3"/>
        <w:rPr>
          <w:lang w:val="en-US"/>
        </w:rPr>
      </w:pPr>
    </w:p>
    <w:p w:rsidR="00783817" w:rsidRDefault="00783817" w:rsidP="00783817">
      <w:pPr>
        <w:pStyle w:val="berschrift3"/>
      </w:pPr>
      <w:r>
        <w:t>Photo</w:t>
      </w:r>
      <w:r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75"/>
      </w:tblGrid>
      <w:tr w:rsidR="00783817" w:rsidRPr="003274EE">
        <w:tc>
          <w:tcPr>
            <w:tcW w:w="4594" w:type="dxa"/>
          </w:tcPr>
          <w:p w:rsidR="00783817" w:rsidRDefault="007612CB" w:rsidP="00783817">
            <w:pPr>
              <w:rPr>
                <w:sz w:val="20"/>
              </w:rPr>
            </w:pPr>
            <w:r>
              <w:rPr>
                <w:sz w:val="20"/>
              </w:rPr>
              <w:t>Extension de la gamme de produits en acier et inox</w:t>
            </w:r>
            <w:r>
              <w:rPr>
                <w:sz w:val="20"/>
              </w:rPr>
              <w:br/>
              <w:t xml:space="preserve">Photo : KIPP </w:t>
            </w:r>
          </w:p>
          <w:p w:rsidR="00783817" w:rsidRPr="00362FE9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4617D0" w:rsidP="00783817">
            <w:pPr>
              <w:rPr>
                <w:noProof/>
                <w:sz w:val="20"/>
              </w:rPr>
            </w:pPr>
            <w:r w:rsidRPr="006E2CA6">
              <w:rPr>
                <w:noProof/>
              </w:rPr>
              <w:drawing>
                <wp:inline distT="0" distB="0" distL="0" distR="0">
                  <wp:extent cx="2958465" cy="17748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>Fichier image : KIPP-Teleskopschienen Edelstahl.jpg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69" w:rsidRDefault="00DC1269">
      <w:r>
        <w:separator/>
      </w:r>
    </w:p>
  </w:endnote>
  <w:endnote w:type="continuationSeparator" w:id="0">
    <w:p w:rsidR="00DC1269" w:rsidRDefault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76BCF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69" w:rsidRDefault="00DC1269">
      <w:r>
        <w:separator/>
      </w:r>
    </w:p>
  </w:footnote>
  <w:footnote w:type="continuationSeparator" w:id="0">
    <w:p w:rsidR="00DC1269" w:rsidRDefault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9007F"/>
    <w:rsid w:val="000C2BCB"/>
    <w:rsid w:val="001339DE"/>
    <w:rsid w:val="00173AD9"/>
    <w:rsid w:val="001C5D12"/>
    <w:rsid w:val="00210153"/>
    <w:rsid w:val="00210655"/>
    <w:rsid w:val="002D7C6C"/>
    <w:rsid w:val="003376F5"/>
    <w:rsid w:val="00344FF7"/>
    <w:rsid w:val="00374E78"/>
    <w:rsid w:val="00376BCF"/>
    <w:rsid w:val="00392FF3"/>
    <w:rsid w:val="00415C62"/>
    <w:rsid w:val="004375D2"/>
    <w:rsid w:val="00444C4B"/>
    <w:rsid w:val="00451752"/>
    <w:rsid w:val="0045707C"/>
    <w:rsid w:val="004617D0"/>
    <w:rsid w:val="004711A8"/>
    <w:rsid w:val="00496518"/>
    <w:rsid w:val="004B015B"/>
    <w:rsid w:val="004C2291"/>
    <w:rsid w:val="005100EC"/>
    <w:rsid w:val="005904DC"/>
    <w:rsid w:val="00595330"/>
    <w:rsid w:val="005A5A84"/>
    <w:rsid w:val="00645FBD"/>
    <w:rsid w:val="00677302"/>
    <w:rsid w:val="006E09D7"/>
    <w:rsid w:val="006E623B"/>
    <w:rsid w:val="006E7A95"/>
    <w:rsid w:val="00713FCC"/>
    <w:rsid w:val="00721B9E"/>
    <w:rsid w:val="00744C8F"/>
    <w:rsid w:val="007612CB"/>
    <w:rsid w:val="007819BF"/>
    <w:rsid w:val="00783817"/>
    <w:rsid w:val="00786BAF"/>
    <w:rsid w:val="007B482A"/>
    <w:rsid w:val="00856392"/>
    <w:rsid w:val="00866A85"/>
    <w:rsid w:val="00873431"/>
    <w:rsid w:val="00883042"/>
    <w:rsid w:val="0095515C"/>
    <w:rsid w:val="00967469"/>
    <w:rsid w:val="009A3246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E3937"/>
    <w:rsid w:val="00BF3FE9"/>
    <w:rsid w:val="00C56C4B"/>
    <w:rsid w:val="00C873E0"/>
    <w:rsid w:val="00CD5267"/>
    <w:rsid w:val="00D12D81"/>
    <w:rsid w:val="00D610DD"/>
    <w:rsid w:val="00DA6035"/>
    <w:rsid w:val="00DC1269"/>
    <w:rsid w:val="00DE744E"/>
    <w:rsid w:val="00E11211"/>
    <w:rsid w:val="00E60EE7"/>
    <w:rsid w:val="00EA130D"/>
    <w:rsid w:val="00EC00AB"/>
    <w:rsid w:val="00F0556A"/>
    <w:rsid w:val="00F101F6"/>
    <w:rsid w:val="00F31E3B"/>
    <w:rsid w:val="00F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B09AC515.dotm</Template>
  <TotalTime>0</TotalTime>
  <Pages>2</Pages>
  <Words>365</Words>
  <Characters>2198</Characters>
  <Application>Microsoft Office Word</Application>
  <DocSecurity>0</DocSecurity>
  <Lines>75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Ihr Benutzername</cp:lastModifiedBy>
  <cp:revision>6</cp:revision>
  <cp:lastPrinted>2013-07-15T11:09:00Z</cp:lastPrinted>
  <dcterms:created xsi:type="dcterms:W3CDTF">2014-02-28T09:06:00Z</dcterms:created>
  <dcterms:modified xsi:type="dcterms:W3CDTF">2014-03-31T08:08:00Z</dcterms:modified>
</cp:coreProperties>
</file>