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17A4" w14:textId="77777777" w:rsidR="0094682F" w:rsidRPr="00902828" w:rsidRDefault="00EF4AF1" w:rsidP="00783817">
      <w:pPr>
        <w:rPr>
          <w:lang w:val="fr-FR"/>
        </w:rPr>
      </w:pPr>
      <w:r w:rsidRPr="00902828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D0B0CE0" wp14:editId="5BF9D38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9A62D" w14:textId="77777777" w:rsidR="0094682F" w:rsidRPr="00902828" w:rsidRDefault="0094682F" w:rsidP="00783817">
      <w:pPr>
        <w:rPr>
          <w:lang w:val="fr-FR"/>
        </w:rPr>
      </w:pPr>
    </w:p>
    <w:p w14:paraId="3F48DDA5" w14:textId="77777777" w:rsidR="0094682F" w:rsidRPr="00902828" w:rsidRDefault="0094682F" w:rsidP="00783817">
      <w:pPr>
        <w:rPr>
          <w:lang w:val="fr-FR"/>
        </w:rPr>
      </w:pPr>
    </w:p>
    <w:p w14:paraId="696BDFDA" w14:textId="77777777" w:rsidR="00783817" w:rsidRPr="00902828" w:rsidRDefault="00783817" w:rsidP="00783817">
      <w:pPr>
        <w:rPr>
          <w:lang w:val="fr-FR"/>
        </w:rPr>
      </w:pPr>
    </w:p>
    <w:p w14:paraId="6A779106" w14:textId="717314ED" w:rsidR="00783817" w:rsidRPr="00902828" w:rsidRDefault="006331E2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fr-FR"/>
        </w:rPr>
      </w:pPr>
      <w:r w:rsidRPr="00902828">
        <w:rPr>
          <w:noProof/>
          <w:u w:val="single"/>
          <w:lang w:val="fr-FR"/>
        </w:rPr>
        <w:t>Communiqué de presse</w:t>
      </w:r>
      <w:r w:rsidR="00783817" w:rsidRPr="00902828">
        <w:rPr>
          <w:szCs w:val="22"/>
          <w:lang w:val="fr-FR"/>
        </w:rPr>
        <w:t xml:space="preserve"> </w:t>
      </w:r>
      <w:r w:rsidR="00783817" w:rsidRPr="00902828">
        <w:rPr>
          <w:szCs w:val="22"/>
          <w:lang w:val="fr-FR"/>
        </w:rPr>
        <w:tab/>
      </w:r>
      <w:r w:rsidR="00783817" w:rsidRPr="00902828">
        <w:rPr>
          <w:b w:val="0"/>
          <w:sz w:val="22"/>
          <w:szCs w:val="22"/>
          <w:lang w:val="fr-FR"/>
        </w:rPr>
        <w:t xml:space="preserve">Sulz am Neckar, </w:t>
      </w:r>
      <w:r w:rsidRPr="00902828">
        <w:rPr>
          <w:b w:val="0"/>
          <w:sz w:val="22"/>
          <w:szCs w:val="22"/>
          <w:lang w:val="fr-FR"/>
        </w:rPr>
        <w:t>juillet</w:t>
      </w:r>
      <w:r w:rsidR="00393268" w:rsidRPr="00902828">
        <w:rPr>
          <w:b w:val="0"/>
          <w:sz w:val="22"/>
          <w:szCs w:val="22"/>
          <w:lang w:val="fr-FR"/>
        </w:rPr>
        <w:t xml:space="preserve"> 2015</w:t>
      </w:r>
    </w:p>
    <w:p w14:paraId="0803836D" w14:textId="77777777" w:rsidR="00783817" w:rsidRPr="00902828" w:rsidRDefault="00783817" w:rsidP="00783817">
      <w:pPr>
        <w:rPr>
          <w:lang w:val="fr-FR"/>
        </w:rPr>
      </w:pPr>
    </w:p>
    <w:p w14:paraId="09D5A3D3" w14:textId="77777777" w:rsidR="00783817" w:rsidRPr="00902828" w:rsidRDefault="00783817" w:rsidP="00783817">
      <w:pPr>
        <w:rPr>
          <w:lang w:val="fr-FR"/>
        </w:rPr>
      </w:pPr>
    </w:p>
    <w:p w14:paraId="63FA841B" w14:textId="23D98A72" w:rsidR="00DE4BEA" w:rsidRPr="00902828" w:rsidRDefault="006331E2" w:rsidP="004B408C">
      <w:pPr>
        <w:rPr>
          <w:rFonts w:cs="Arial"/>
          <w:sz w:val="22"/>
          <w:szCs w:val="22"/>
          <w:lang w:val="fr-FR"/>
        </w:rPr>
      </w:pPr>
      <w:r w:rsidRPr="00902828">
        <w:rPr>
          <w:rFonts w:cs="Arial"/>
          <w:sz w:val="22"/>
          <w:szCs w:val="22"/>
          <w:lang w:val="fr-FR"/>
        </w:rPr>
        <w:t>Une manipulation pratique</w:t>
      </w:r>
    </w:p>
    <w:p w14:paraId="1CAAF154" w14:textId="3635CAEB" w:rsidR="00874D03" w:rsidRPr="00902828" w:rsidRDefault="00734277" w:rsidP="004B408C">
      <w:pPr>
        <w:pStyle w:val="berschrift1"/>
        <w:rPr>
          <w:lang w:val="fr-FR"/>
        </w:rPr>
      </w:pPr>
      <w:r w:rsidRPr="00902828">
        <w:rPr>
          <w:lang w:val="fr-FR"/>
        </w:rPr>
        <w:t xml:space="preserve">KIPP </w:t>
      </w:r>
      <w:r w:rsidR="006331E2" w:rsidRPr="00902828">
        <w:rPr>
          <w:lang w:val="fr-FR"/>
        </w:rPr>
        <w:t xml:space="preserve">élargit sa gamme de produits avec des supports de </w:t>
      </w:r>
      <w:r w:rsidR="0074692F">
        <w:rPr>
          <w:lang w:val="fr-FR"/>
        </w:rPr>
        <w:t>fixation</w:t>
      </w:r>
      <w:r w:rsidR="006331E2" w:rsidRPr="00902828">
        <w:rPr>
          <w:lang w:val="fr-FR"/>
        </w:rPr>
        <w:t xml:space="preserve"> en aluminium</w:t>
      </w:r>
      <w:r w:rsidR="00B80412" w:rsidRPr="00902828">
        <w:rPr>
          <w:lang w:val="fr-FR"/>
        </w:rPr>
        <w:t xml:space="preserve"> </w:t>
      </w:r>
      <w:r w:rsidR="004B408C" w:rsidRPr="00902828">
        <w:rPr>
          <w:lang w:val="fr-FR"/>
        </w:rPr>
        <w:t xml:space="preserve"> </w:t>
      </w:r>
    </w:p>
    <w:p w14:paraId="64F8DE1C" w14:textId="77777777" w:rsidR="00A46E0A" w:rsidRPr="00902828" w:rsidRDefault="00A46E0A" w:rsidP="00A46E0A">
      <w:pPr>
        <w:rPr>
          <w:lang w:val="fr-FR" w:eastAsia="x-none"/>
        </w:rPr>
      </w:pPr>
    </w:p>
    <w:p w14:paraId="3A6DB3A9" w14:textId="26911A92" w:rsidR="00734277" w:rsidRPr="00902828" w:rsidRDefault="0089731F" w:rsidP="00734277">
      <w:pPr>
        <w:spacing w:line="360" w:lineRule="auto"/>
        <w:rPr>
          <w:rFonts w:cs="Arial"/>
          <w:b/>
          <w:bCs/>
          <w:sz w:val="22"/>
          <w:szCs w:val="22"/>
          <w:lang w:val="fr-FR"/>
        </w:rPr>
      </w:pPr>
      <w:r w:rsidRPr="00902828">
        <w:rPr>
          <w:b/>
          <w:bCs/>
          <w:sz w:val="22"/>
          <w:szCs w:val="22"/>
          <w:lang w:val="fr-FR" w:eastAsia="x-none"/>
        </w:rPr>
        <w:t xml:space="preserve">La société </w:t>
      </w:r>
      <w:r w:rsidR="00734277" w:rsidRPr="00902828">
        <w:rPr>
          <w:b/>
          <w:bCs/>
          <w:sz w:val="22"/>
          <w:szCs w:val="22"/>
          <w:lang w:val="fr-FR" w:eastAsia="x-none"/>
        </w:rPr>
        <w:t>H</w:t>
      </w:r>
      <w:r w:rsidR="00734277" w:rsidRPr="00902828">
        <w:rPr>
          <w:rFonts w:cs="Arial"/>
          <w:b/>
          <w:bCs/>
          <w:sz w:val="22"/>
          <w:szCs w:val="22"/>
          <w:lang w:val="fr-FR"/>
        </w:rPr>
        <w:t xml:space="preserve">EINRICH KIPP WERK </w:t>
      </w:r>
      <w:r w:rsidRPr="00902828">
        <w:rPr>
          <w:rFonts w:cs="Arial"/>
          <w:b/>
          <w:bCs/>
          <w:sz w:val="22"/>
          <w:szCs w:val="22"/>
          <w:lang w:val="fr-FR"/>
        </w:rPr>
        <w:t xml:space="preserve">élargit sa gamme de produits avec des supports de </w:t>
      </w:r>
      <w:r w:rsidR="0074692F">
        <w:rPr>
          <w:rFonts w:cs="Arial"/>
          <w:b/>
          <w:bCs/>
          <w:sz w:val="22"/>
          <w:szCs w:val="22"/>
          <w:lang w:val="fr-FR"/>
        </w:rPr>
        <w:t>fixation</w:t>
      </w:r>
      <w:r w:rsidRPr="00902828">
        <w:rPr>
          <w:rFonts w:cs="Arial"/>
          <w:b/>
          <w:bCs/>
          <w:sz w:val="22"/>
          <w:szCs w:val="22"/>
          <w:lang w:val="fr-FR"/>
        </w:rPr>
        <w:t xml:space="preserve"> en aluminium léger. Ces supports de </w:t>
      </w:r>
      <w:r w:rsidR="0074692F">
        <w:rPr>
          <w:rFonts w:cs="Arial"/>
          <w:b/>
          <w:bCs/>
          <w:sz w:val="22"/>
          <w:szCs w:val="22"/>
          <w:lang w:val="fr-FR"/>
        </w:rPr>
        <w:t>fixation</w:t>
      </w:r>
      <w:r w:rsidRPr="00902828">
        <w:rPr>
          <w:rFonts w:cs="Arial"/>
          <w:b/>
          <w:bCs/>
          <w:sz w:val="22"/>
          <w:szCs w:val="22"/>
          <w:lang w:val="fr-FR"/>
        </w:rPr>
        <w:t xml:space="preserve"> très pratiques et polyvalents garantissent un bon maintien et peuvent être associés aux autres produits proposés par KIPP.</w:t>
      </w:r>
    </w:p>
    <w:p w14:paraId="1D922BEB" w14:textId="77777777" w:rsidR="009709CF" w:rsidRPr="00902828" w:rsidRDefault="009709CF" w:rsidP="001F595A">
      <w:pPr>
        <w:spacing w:line="276" w:lineRule="auto"/>
        <w:rPr>
          <w:b/>
          <w:bCs/>
          <w:sz w:val="22"/>
          <w:szCs w:val="22"/>
          <w:lang w:val="fr-FR"/>
        </w:rPr>
      </w:pPr>
    </w:p>
    <w:p w14:paraId="0BABA1D4" w14:textId="6ED3416F" w:rsidR="00734277" w:rsidRPr="00902828" w:rsidRDefault="006331E2" w:rsidP="00BF2298">
      <w:pPr>
        <w:spacing w:line="276" w:lineRule="auto"/>
        <w:rPr>
          <w:rFonts w:cs="Arial"/>
          <w:sz w:val="22"/>
          <w:szCs w:val="22"/>
          <w:lang w:val="fr-FR"/>
        </w:rPr>
      </w:pPr>
      <w:r w:rsidRPr="00902828">
        <w:rPr>
          <w:rFonts w:cs="Arial"/>
          <w:sz w:val="22"/>
          <w:szCs w:val="22"/>
          <w:lang w:val="fr-FR"/>
        </w:rPr>
        <w:t xml:space="preserve">Avec ses nouveaux supports de </w:t>
      </w:r>
      <w:r w:rsidR="0074692F">
        <w:rPr>
          <w:rFonts w:cs="Arial"/>
          <w:sz w:val="22"/>
          <w:szCs w:val="22"/>
          <w:lang w:val="fr-FR"/>
        </w:rPr>
        <w:t>fixation</w:t>
      </w:r>
      <w:r w:rsidRPr="00902828">
        <w:rPr>
          <w:rFonts w:cs="Arial"/>
          <w:sz w:val="22"/>
          <w:szCs w:val="22"/>
          <w:lang w:val="fr-FR"/>
        </w:rPr>
        <w:t>, la société KIPP offre un outil particulièrement pratique pour le montage de nombreux produits</w:t>
      </w:r>
      <w:r w:rsidR="005E38F6" w:rsidRPr="00902828">
        <w:rPr>
          <w:rFonts w:cs="Arial"/>
          <w:sz w:val="22"/>
          <w:szCs w:val="22"/>
          <w:lang w:val="fr-FR"/>
        </w:rPr>
        <w:t xml:space="preserve">, </w:t>
      </w:r>
      <w:r w:rsidRPr="00902828">
        <w:rPr>
          <w:rFonts w:cs="Arial"/>
          <w:sz w:val="22"/>
          <w:szCs w:val="22"/>
          <w:lang w:val="fr-FR"/>
        </w:rPr>
        <w:t>notamment des doigts d’indexage, des verrous de blocage ou encore des poussoirs à ressort.</w:t>
      </w:r>
      <w:r w:rsidR="00734277" w:rsidRPr="00902828">
        <w:rPr>
          <w:rFonts w:cs="Arial"/>
          <w:sz w:val="22"/>
          <w:szCs w:val="22"/>
          <w:lang w:val="fr-FR"/>
        </w:rPr>
        <w:t xml:space="preserve"> </w:t>
      </w:r>
      <w:r w:rsidR="00BF2298" w:rsidRPr="00902828">
        <w:rPr>
          <w:rFonts w:cs="Arial"/>
          <w:sz w:val="22"/>
          <w:szCs w:val="22"/>
          <w:lang w:val="fr-FR"/>
        </w:rPr>
        <w:t xml:space="preserve">La grande diversité des filetages métriques et des pas fins assure une fixation fiable des composants. De plus, les fentes de serrage permettent de fixer le composant sur le support de </w:t>
      </w:r>
      <w:r w:rsidR="0074692F">
        <w:rPr>
          <w:rFonts w:cs="Arial"/>
          <w:sz w:val="22"/>
          <w:szCs w:val="22"/>
          <w:lang w:val="fr-FR"/>
        </w:rPr>
        <w:t>fixation</w:t>
      </w:r>
      <w:r w:rsidR="00BF2298" w:rsidRPr="00902828">
        <w:rPr>
          <w:rFonts w:cs="Arial"/>
          <w:sz w:val="22"/>
          <w:szCs w:val="22"/>
          <w:lang w:val="fr-FR"/>
        </w:rPr>
        <w:t xml:space="preserve"> lors du vissage, facilitant ainsi sa manipulation. Les supports de </w:t>
      </w:r>
      <w:r w:rsidR="0074692F">
        <w:rPr>
          <w:rFonts w:cs="Arial"/>
          <w:sz w:val="22"/>
          <w:szCs w:val="22"/>
          <w:lang w:val="fr-FR"/>
        </w:rPr>
        <w:t>fixation</w:t>
      </w:r>
      <w:r w:rsidR="00BF2298" w:rsidRPr="00902828">
        <w:rPr>
          <w:rFonts w:cs="Arial"/>
          <w:sz w:val="22"/>
          <w:szCs w:val="22"/>
          <w:lang w:val="fr-FR"/>
        </w:rPr>
        <w:t xml:space="preserve"> peuvent être associés à de nombreux éléments de manœuvre KIPP. </w:t>
      </w:r>
      <w:r w:rsidR="0089731F" w:rsidRPr="00902828">
        <w:rPr>
          <w:rFonts w:cs="Arial"/>
          <w:sz w:val="22"/>
          <w:szCs w:val="22"/>
          <w:lang w:val="fr-FR"/>
        </w:rPr>
        <w:t>L’extrême légèreté de l’aluminium et la taille compacte facilitent le montage, même en cas d’espace réduit.</w:t>
      </w:r>
    </w:p>
    <w:p w14:paraId="526BF21E" w14:textId="77777777" w:rsidR="00734277" w:rsidRPr="00902828" w:rsidRDefault="00734277" w:rsidP="00734277">
      <w:pPr>
        <w:spacing w:line="276" w:lineRule="auto"/>
        <w:rPr>
          <w:rFonts w:cs="Arial"/>
          <w:sz w:val="22"/>
          <w:szCs w:val="22"/>
          <w:lang w:val="fr-FR"/>
        </w:rPr>
      </w:pPr>
    </w:p>
    <w:p w14:paraId="12345A45" w14:textId="2E803E79" w:rsidR="000D7C05" w:rsidRPr="00902828" w:rsidRDefault="00EB773D" w:rsidP="00734277">
      <w:pPr>
        <w:spacing w:line="276" w:lineRule="auto"/>
        <w:rPr>
          <w:szCs w:val="22"/>
          <w:lang w:val="fr-FR"/>
        </w:rPr>
      </w:pPr>
      <w:r w:rsidRPr="00902828">
        <w:rPr>
          <w:rFonts w:cs="Arial"/>
          <w:sz w:val="22"/>
          <w:szCs w:val="22"/>
          <w:lang w:val="fr-FR"/>
        </w:rPr>
        <w:t xml:space="preserve">La société KIPP propose ses supports de </w:t>
      </w:r>
      <w:r w:rsidR="0074692F">
        <w:rPr>
          <w:rFonts w:cs="Arial"/>
          <w:sz w:val="22"/>
          <w:szCs w:val="22"/>
          <w:lang w:val="fr-FR"/>
        </w:rPr>
        <w:t>fixation</w:t>
      </w:r>
      <w:r w:rsidRPr="00902828">
        <w:rPr>
          <w:rFonts w:cs="Arial"/>
          <w:sz w:val="22"/>
          <w:szCs w:val="22"/>
          <w:lang w:val="fr-FR"/>
        </w:rPr>
        <w:t xml:space="preserve"> en deux versions : la forme A dispose </w:t>
      </w:r>
      <w:r w:rsidR="00BD2122" w:rsidRPr="00902828">
        <w:rPr>
          <w:rFonts w:cs="Arial"/>
          <w:sz w:val="22"/>
          <w:szCs w:val="22"/>
          <w:lang w:val="fr-FR"/>
        </w:rPr>
        <w:t>de trous lamés</w:t>
      </w:r>
      <w:r w:rsidRPr="00902828">
        <w:rPr>
          <w:rFonts w:cs="Arial"/>
          <w:sz w:val="22"/>
          <w:szCs w:val="22"/>
          <w:lang w:val="fr-FR"/>
        </w:rPr>
        <w:t xml:space="preserve"> parallèle</w:t>
      </w:r>
      <w:r w:rsidR="00BD2122" w:rsidRPr="00902828">
        <w:rPr>
          <w:rFonts w:cs="Arial"/>
          <w:sz w:val="22"/>
          <w:szCs w:val="22"/>
          <w:lang w:val="fr-FR"/>
        </w:rPr>
        <w:t>s</w:t>
      </w:r>
      <w:r w:rsidRPr="00902828">
        <w:rPr>
          <w:rFonts w:cs="Arial"/>
          <w:sz w:val="22"/>
          <w:szCs w:val="22"/>
          <w:lang w:val="fr-FR"/>
        </w:rPr>
        <w:t xml:space="preserve"> au </w:t>
      </w:r>
      <w:r w:rsidR="00BD2122" w:rsidRPr="00902828">
        <w:rPr>
          <w:rFonts w:cs="Arial"/>
          <w:sz w:val="22"/>
          <w:szCs w:val="22"/>
          <w:lang w:val="fr-FR"/>
        </w:rPr>
        <w:t>taraudage</w:t>
      </w:r>
      <w:r w:rsidRPr="00902828">
        <w:rPr>
          <w:rFonts w:cs="Arial"/>
          <w:sz w:val="22"/>
          <w:szCs w:val="22"/>
          <w:lang w:val="fr-FR"/>
        </w:rPr>
        <w:t>, tandis que dans la forme B</w:t>
      </w:r>
      <w:r w:rsidR="00902828">
        <w:rPr>
          <w:rFonts w:cs="Arial"/>
          <w:sz w:val="22"/>
          <w:szCs w:val="22"/>
          <w:lang w:val="fr-FR"/>
        </w:rPr>
        <w:t>,</w:t>
      </w:r>
      <w:r w:rsidRPr="00902828">
        <w:rPr>
          <w:rFonts w:cs="Arial"/>
          <w:sz w:val="22"/>
          <w:szCs w:val="22"/>
          <w:lang w:val="fr-FR"/>
        </w:rPr>
        <w:t xml:space="preserve"> </w:t>
      </w:r>
      <w:r w:rsidR="00BD2122" w:rsidRPr="00902828">
        <w:rPr>
          <w:rFonts w:cs="Arial"/>
          <w:sz w:val="22"/>
          <w:szCs w:val="22"/>
          <w:lang w:val="fr-FR"/>
        </w:rPr>
        <w:t>les trous lamés sont</w:t>
      </w:r>
      <w:r w:rsidRPr="00902828">
        <w:rPr>
          <w:rFonts w:cs="Arial"/>
          <w:sz w:val="22"/>
          <w:szCs w:val="22"/>
          <w:lang w:val="fr-FR"/>
        </w:rPr>
        <w:t xml:space="preserve"> perpendiculaire</w:t>
      </w:r>
      <w:r w:rsidR="00BD2122" w:rsidRPr="00902828">
        <w:rPr>
          <w:rFonts w:cs="Arial"/>
          <w:sz w:val="22"/>
          <w:szCs w:val="22"/>
          <w:lang w:val="fr-FR"/>
        </w:rPr>
        <w:t>s</w:t>
      </w:r>
      <w:r w:rsidRPr="00902828">
        <w:rPr>
          <w:rFonts w:cs="Arial"/>
          <w:sz w:val="22"/>
          <w:szCs w:val="22"/>
          <w:lang w:val="fr-FR"/>
        </w:rPr>
        <w:t xml:space="preserve"> au </w:t>
      </w:r>
      <w:r w:rsidR="00BD2122" w:rsidRPr="00902828">
        <w:rPr>
          <w:rFonts w:cs="Arial"/>
          <w:sz w:val="22"/>
          <w:szCs w:val="22"/>
          <w:lang w:val="fr-FR"/>
        </w:rPr>
        <w:t>taraudage</w:t>
      </w:r>
      <w:r w:rsidRPr="00902828">
        <w:rPr>
          <w:rFonts w:cs="Arial"/>
          <w:sz w:val="22"/>
          <w:szCs w:val="22"/>
          <w:lang w:val="fr-FR"/>
        </w:rPr>
        <w:t xml:space="preserve">. Le support de </w:t>
      </w:r>
      <w:r w:rsidR="0074692F">
        <w:rPr>
          <w:rFonts w:cs="Arial"/>
          <w:sz w:val="22"/>
          <w:szCs w:val="22"/>
          <w:lang w:val="fr-FR"/>
        </w:rPr>
        <w:t>fixation</w:t>
      </w:r>
      <w:r w:rsidRPr="00902828">
        <w:rPr>
          <w:rFonts w:cs="Arial"/>
          <w:sz w:val="22"/>
          <w:szCs w:val="22"/>
          <w:lang w:val="fr-FR"/>
        </w:rPr>
        <w:t xml:space="preserve"> se fixe </w:t>
      </w:r>
      <w:r w:rsidR="00BD2122" w:rsidRPr="00902828">
        <w:rPr>
          <w:rFonts w:cs="Arial"/>
          <w:sz w:val="22"/>
          <w:szCs w:val="22"/>
          <w:lang w:val="fr-FR"/>
        </w:rPr>
        <w:t xml:space="preserve">sur les trous prévus à cet effet </w:t>
      </w:r>
      <w:r w:rsidRPr="00902828">
        <w:rPr>
          <w:rFonts w:cs="Arial"/>
          <w:sz w:val="22"/>
          <w:szCs w:val="22"/>
          <w:lang w:val="fr-FR"/>
        </w:rPr>
        <w:t>à l’aide de vis à tête cylindrique</w:t>
      </w:r>
      <w:r w:rsidR="00734277" w:rsidRPr="00902828">
        <w:rPr>
          <w:rFonts w:cs="Arial"/>
          <w:sz w:val="22"/>
          <w:szCs w:val="22"/>
          <w:lang w:val="fr-FR"/>
        </w:rPr>
        <w:t xml:space="preserve"> DIN ISO 4762</w:t>
      </w:r>
      <w:r w:rsidR="00BD2122" w:rsidRPr="00902828">
        <w:rPr>
          <w:rFonts w:cs="Arial"/>
          <w:sz w:val="22"/>
          <w:szCs w:val="22"/>
          <w:lang w:val="fr-FR"/>
        </w:rPr>
        <w:t>.</w:t>
      </w:r>
      <w:r w:rsidR="00734277" w:rsidRPr="00902828">
        <w:rPr>
          <w:rFonts w:cs="Arial"/>
          <w:sz w:val="22"/>
          <w:szCs w:val="22"/>
          <w:lang w:val="fr-FR"/>
        </w:rPr>
        <w:t xml:space="preserve"> </w:t>
      </w:r>
      <w:r w:rsidR="00BD2122" w:rsidRPr="00902828">
        <w:rPr>
          <w:rFonts w:cs="Arial"/>
          <w:sz w:val="22"/>
          <w:szCs w:val="22"/>
          <w:lang w:val="fr-FR"/>
        </w:rPr>
        <w:t xml:space="preserve">Tous les supports de </w:t>
      </w:r>
      <w:r w:rsidR="0074692F">
        <w:rPr>
          <w:rFonts w:cs="Arial"/>
          <w:sz w:val="22"/>
          <w:szCs w:val="22"/>
          <w:lang w:val="fr-FR"/>
        </w:rPr>
        <w:t>fixation</w:t>
      </w:r>
      <w:r w:rsidR="00BD2122" w:rsidRPr="00902828">
        <w:rPr>
          <w:rFonts w:cs="Arial"/>
          <w:sz w:val="22"/>
          <w:szCs w:val="22"/>
          <w:lang w:val="fr-FR"/>
        </w:rPr>
        <w:t xml:space="preserve"> sont anodisés et </w:t>
      </w:r>
      <w:r w:rsidR="009410AD" w:rsidRPr="00902828">
        <w:rPr>
          <w:rFonts w:cs="Arial"/>
          <w:sz w:val="22"/>
          <w:szCs w:val="22"/>
          <w:lang w:val="fr-FR"/>
        </w:rPr>
        <w:t xml:space="preserve">peints en </w:t>
      </w:r>
      <w:r w:rsidR="00BD2122" w:rsidRPr="00902828">
        <w:rPr>
          <w:rFonts w:cs="Arial"/>
          <w:sz w:val="22"/>
          <w:szCs w:val="22"/>
          <w:lang w:val="fr-FR"/>
        </w:rPr>
        <w:t xml:space="preserve">noir mat. Ils sont disponibles </w:t>
      </w:r>
      <w:r w:rsidR="0074692F">
        <w:rPr>
          <w:rFonts w:cs="Arial"/>
          <w:sz w:val="22"/>
          <w:szCs w:val="22"/>
          <w:lang w:val="fr-FR"/>
        </w:rPr>
        <w:t>sur stock</w:t>
      </w:r>
      <w:r w:rsidR="00BD2122" w:rsidRPr="00902828">
        <w:rPr>
          <w:rFonts w:cs="Arial"/>
          <w:sz w:val="22"/>
          <w:szCs w:val="22"/>
          <w:lang w:val="fr-FR"/>
        </w:rPr>
        <w:t xml:space="preserve"> avec</w:t>
      </w:r>
      <w:r w:rsidR="000878AB" w:rsidRPr="00902828">
        <w:rPr>
          <w:rFonts w:cs="Arial"/>
          <w:sz w:val="22"/>
          <w:szCs w:val="22"/>
          <w:lang w:val="fr-FR"/>
        </w:rPr>
        <w:t xml:space="preserve"> filetage métrique ou pas fin allant </w:t>
      </w:r>
      <w:r w:rsidR="000F5413" w:rsidRPr="00902828">
        <w:rPr>
          <w:rFonts w:cs="Arial"/>
          <w:sz w:val="22"/>
          <w:szCs w:val="22"/>
          <w:lang w:val="fr-FR"/>
        </w:rPr>
        <w:t>de</w:t>
      </w:r>
      <w:r w:rsidR="00BD2122" w:rsidRPr="00902828">
        <w:rPr>
          <w:rFonts w:cs="Arial"/>
          <w:sz w:val="22"/>
          <w:szCs w:val="22"/>
          <w:lang w:val="fr-FR"/>
        </w:rPr>
        <w:t xml:space="preserve"> </w:t>
      </w:r>
      <w:r w:rsidR="000878AB" w:rsidRPr="00902828">
        <w:rPr>
          <w:rFonts w:cs="Arial"/>
          <w:sz w:val="22"/>
          <w:szCs w:val="22"/>
          <w:lang w:val="fr-FR"/>
        </w:rPr>
        <w:t>M6 à M20 x 1,5.</w:t>
      </w:r>
    </w:p>
    <w:p w14:paraId="7D77B5B8" w14:textId="77777777" w:rsidR="00D91134" w:rsidRPr="00902828" w:rsidRDefault="00D91134" w:rsidP="00D91134">
      <w:pPr>
        <w:pStyle w:val="Pressetext"/>
        <w:rPr>
          <w:lang w:val="fr-FR"/>
        </w:rPr>
      </w:pPr>
    </w:p>
    <w:p w14:paraId="74835DEF" w14:textId="6884F028" w:rsidR="00D91134" w:rsidRPr="00902828" w:rsidRDefault="000878AB" w:rsidP="00D91134">
      <w:pPr>
        <w:rPr>
          <w:rFonts w:cs="Arial"/>
          <w:sz w:val="20"/>
          <w:u w:val="single"/>
          <w:lang w:val="fr-FR"/>
        </w:rPr>
      </w:pPr>
      <w:r w:rsidRPr="00902828">
        <w:rPr>
          <w:rFonts w:cs="Arial"/>
          <w:sz w:val="20"/>
          <w:u w:val="single"/>
          <w:lang w:val="fr-FR"/>
        </w:rPr>
        <w:t>Caractères avec espaces :</w:t>
      </w:r>
    </w:p>
    <w:p w14:paraId="6EB79108" w14:textId="66EE8139" w:rsidR="00D91134" w:rsidRPr="00435B6A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902828">
        <w:rPr>
          <w:rFonts w:cs="Arial"/>
          <w:sz w:val="20"/>
          <w:lang w:val="fr-FR"/>
        </w:rPr>
        <w:t>Headline</w:t>
      </w:r>
      <w:r w:rsidR="000878AB" w:rsidRPr="00902828">
        <w:rPr>
          <w:rFonts w:cs="Arial"/>
          <w:sz w:val="20"/>
          <w:lang w:val="fr-FR"/>
        </w:rPr>
        <w:t> </w:t>
      </w:r>
      <w:r w:rsidRPr="00902828">
        <w:rPr>
          <w:rFonts w:cs="Arial"/>
          <w:sz w:val="20"/>
          <w:lang w:val="fr-FR"/>
        </w:rPr>
        <w:t>:</w:t>
      </w:r>
      <w:r w:rsidRPr="00902828">
        <w:rPr>
          <w:rFonts w:cs="Arial"/>
          <w:sz w:val="20"/>
          <w:lang w:val="fr-FR"/>
        </w:rPr>
        <w:tab/>
      </w:r>
      <w:r w:rsidR="00493700">
        <w:rPr>
          <w:rFonts w:cs="Arial"/>
          <w:sz w:val="20"/>
          <w:lang w:val="fr-FR"/>
        </w:rPr>
        <w:t>78</w:t>
      </w:r>
      <w:r w:rsidR="000878AB" w:rsidRPr="00435B6A">
        <w:rPr>
          <w:rFonts w:cs="Arial"/>
          <w:sz w:val="20"/>
          <w:lang w:val="fr-FR"/>
        </w:rPr>
        <w:t xml:space="preserve"> caractères</w:t>
      </w:r>
    </w:p>
    <w:p w14:paraId="1343DFD0" w14:textId="1E2890B1" w:rsidR="00D91134" w:rsidRPr="00435B6A" w:rsidRDefault="0008715A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435B6A">
        <w:rPr>
          <w:rFonts w:cs="Arial"/>
          <w:sz w:val="20"/>
          <w:lang w:val="fr-FR"/>
        </w:rPr>
        <w:t>Pre-</w:t>
      </w:r>
      <w:r w:rsidR="00D91134" w:rsidRPr="00435B6A">
        <w:rPr>
          <w:rFonts w:cs="Arial"/>
          <w:sz w:val="20"/>
          <w:lang w:val="fr-FR"/>
        </w:rPr>
        <w:t>head</w:t>
      </w:r>
      <w:r w:rsidR="000878AB" w:rsidRPr="00435B6A">
        <w:rPr>
          <w:rFonts w:cs="Arial"/>
          <w:sz w:val="20"/>
          <w:lang w:val="fr-FR"/>
        </w:rPr>
        <w:t> </w:t>
      </w:r>
      <w:r w:rsidR="00D91134" w:rsidRPr="00435B6A">
        <w:rPr>
          <w:rFonts w:cs="Arial"/>
          <w:sz w:val="20"/>
          <w:lang w:val="fr-FR"/>
        </w:rPr>
        <w:t>:</w:t>
      </w:r>
      <w:r w:rsidR="00D91134" w:rsidRPr="00435B6A">
        <w:rPr>
          <w:rFonts w:cs="Arial"/>
          <w:sz w:val="20"/>
          <w:lang w:val="fr-FR"/>
        </w:rPr>
        <w:tab/>
      </w:r>
      <w:r w:rsidR="00236E3B" w:rsidRPr="00435B6A">
        <w:rPr>
          <w:rFonts w:cs="Arial"/>
          <w:sz w:val="20"/>
          <w:lang w:val="fr-FR"/>
        </w:rPr>
        <w:t>2</w:t>
      </w:r>
      <w:r w:rsidR="00C15FDE" w:rsidRPr="00435B6A">
        <w:rPr>
          <w:rFonts w:cs="Arial"/>
          <w:sz w:val="20"/>
          <w:lang w:val="fr-FR"/>
        </w:rPr>
        <w:t>5</w:t>
      </w:r>
      <w:r w:rsidR="000878AB" w:rsidRPr="00435B6A">
        <w:rPr>
          <w:rFonts w:cs="Arial"/>
          <w:sz w:val="20"/>
          <w:lang w:val="fr-FR"/>
        </w:rPr>
        <w:t xml:space="preserve"> caractères</w:t>
      </w:r>
    </w:p>
    <w:p w14:paraId="2DEDE470" w14:textId="47B7A192" w:rsidR="00D91134" w:rsidRPr="00435B6A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435B6A">
        <w:rPr>
          <w:rFonts w:cs="Arial"/>
          <w:sz w:val="20"/>
          <w:lang w:val="fr-FR"/>
        </w:rPr>
        <w:t>Text</w:t>
      </w:r>
      <w:r w:rsidR="000878AB" w:rsidRPr="00435B6A">
        <w:rPr>
          <w:rFonts w:cs="Arial"/>
          <w:sz w:val="20"/>
          <w:lang w:val="fr-FR"/>
        </w:rPr>
        <w:t>e </w:t>
      </w:r>
      <w:r w:rsidRPr="00435B6A">
        <w:rPr>
          <w:rFonts w:cs="Arial"/>
          <w:sz w:val="20"/>
          <w:lang w:val="fr-FR"/>
        </w:rPr>
        <w:t>:</w:t>
      </w:r>
      <w:r w:rsidRPr="00435B6A">
        <w:rPr>
          <w:rFonts w:cs="Arial"/>
          <w:sz w:val="20"/>
          <w:lang w:val="fr-FR"/>
        </w:rPr>
        <w:tab/>
      </w:r>
      <w:r w:rsidR="00493700">
        <w:rPr>
          <w:rFonts w:cs="Arial"/>
          <w:sz w:val="20"/>
          <w:lang w:val="fr-FR"/>
        </w:rPr>
        <w:t>1 399</w:t>
      </w:r>
      <w:r w:rsidRPr="00435B6A">
        <w:rPr>
          <w:rFonts w:cs="Arial"/>
          <w:sz w:val="20"/>
          <w:lang w:val="fr-FR"/>
        </w:rPr>
        <w:t xml:space="preserve"> </w:t>
      </w:r>
      <w:r w:rsidR="000878AB" w:rsidRPr="00435B6A">
        <w:rPr>
          <w:rFonts w:cs="Arial"/>
          <w:sz w:val="20"/>
          <w:lang w:val="fr-FR"/>
        </w:rPr>
        <w:t>caractères</w:t>
      </w:r>
    </w:p>
    <w:p w14:paraId="1A61672B" w14:textId="1D44B1FE" w:rsidR="00D91134" w:rsidRPr="00902828" w:rsidRDefault="000878AB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435B6A">
        <w:rPr>
          <w:rFonts w:cs="Arial"/>
          <w:sz w:val="20"/>
          <w:lang w:val="fr-FR"/>
        </w:rPr>
        <w:t>Total :</w:t>
      </w:r>
      <w:r w:rsidR="00D91134" w:rsidRPr="00435B6A">
        <w:rPr>
          <w:rFonts w:cs="Arial"/>
          <w:sz w:val="20"/>
          <w:lang w:val="fr-FR"/>
        </w:rPr>
        <w:tab/>
      </w:r>
      <w:r w:rsidR="00493700">
        <w:rPr>
          <w:rFonts w:cs="Arial"/>
          <w:sz w:val="20"/>
          <w:lang w:val="fr-FR"/>
        </w:rPr>
        <w:t>1 502</w:t>
      </w:r>
      <w:r w:rsidRPr="00435B6A">
        <w:rPr>
          <w:rFonts w:cs="Arial"/>
          <w:sz w:val="20"/>
          <w:lang w:val="fr-FR"/>
        </w:rPr>
        <w:t xml:space="preserve"> caractères</w:t>
      </w:r>
    </w:p>
    <w:p w14:paraId="25BFA53B" w14:textId="77777777" w:rsidR="00D91134" w:rsidRPr="00902828" w:rsidRDefault="00D91134" w:rsidP="00D91134">
      <w:pPr>
        <w:rPr>
          <w:rFonts w:cs="Arial"/>
          <w:sz w:val="20"/>
          <w:lang w:val="fr-FR"/>
        </w:rPr>
      </w:pPr>
    </w:p>
    <w:p w14:paraId="44327C49" w14:textId="77777777" w:rsidR="00F94190" w:rsidRPr="00902828" w:rsidRDefault="00F94190" w:rsidP="008D7D92">
      <w:pPr>
        <w:tabs>
          <w:tab w:val="left" w:pos="4020"/>
        </w:tabs>
        <w:rPr>
          <w:noProof/>
          <w:lang w:val="fr-FR"/>
        </w:rPr>
      </w:pPr>
      <w:r w:rsidRPr="00902828">
        <w:rPr>
          <w:noProof/>
          <w:lang w:val="fr-FR"/>
        </w:rPr>
        <w:tab/>
        <w:t xml:space="preserve"> </w:t>
      </w:r>
    </w:p>
    <w:p w14:paraId="5FD6CAAB" w14:textId="77777777" w:rsidR="00D91134" w:rsidRPr="00902828" w:rsidRDefault="00D91134" w:rsidP="00D91134">
      <w:pPr>
        <w:pStyle w:val="Pressetext"/>
        <w:rPr>
          <w:lang w:val="fr-FR"/>
        </w:rPr>
      </w:pPr>
    </w:p>
    <w:p w14:paraId="4E29ED45" w14:textId="77777777" w:rsidR="00D91134" w:rsidRPr="00902828" w:rsidRDefault="00D91134" w:rsidP="00D91134">
      <w:pPr>
        <w:pStyle w:val="Pressetext"/>
        <w:rPr>
          <w:lang w:val="fr-FR"/>
        </w:rPr>
      </w:pPr>
    </w:p>
    <w:p w14:paraId="0C032385" w14:textId="77777777" w:rsidR="00493700" w:rsidRPr="00C53307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KIPP FRANCE SAS</w:t>
      </w:r>
    </w:p>
    <w:p w14:paraId="6F764BC1" w14:textId="77777777" w:rsidR="00493700" w:rsidRPr="00C53307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Patrick Kargol</w:t>
      </w:r>
    </w:p>
    <w:p w14:paraId="28450BEC" w14:textId="77777777" w:rsidR="00493700" w:rsidRPr="00C53307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Parc Silic Bât. Kentia</w:t>
      </w:r>
    </w:p>
    <w:p w14:paraId="7BE72A48" w14:textId="77777777" w:rsidR="00493700" w:rsidRPr="00C53307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14-16 Avenue du Québec • BP 709</w:t>
      </w:r>
    </w:p>
    <w:p w14:paraId="6E4E0C48" w14:textId="77777777" w:rsidR="00493700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proofErr w:type="gramStart"/>
      <w:r w:rsidRPr="00C53307">
        <w:rPr>
          <w:rFonts w:eastAsia="Times" w:cs="Arial"/>
          <w:sz w:val="20"/>
          <w:szCs w:val="20"/>
          <w:lang w:val="en-US"/>
        </w:rPr>
        <w:t>91961</w:t>
      </w:r>
      <w:proofErr w:type="gramEnd"/>
      <w:r w:rsidRPr="00C53307">
        <w:rPr>
          <w:rFonts w:eastAsia="Times" w:cs="Arial"/>
          <w:sz w:val="20"/>
          <w:szCs w:val="20"/>
          <w:lang w:val="en-US"/>
        </w:rPr>
        <w:t xml:space="preserve"> Courtaboeuf Cedex</w:t>
      </w:r>
    </w:p>
    <w:p w14:paraId="433A175F" w14:textId="77777777" w:rsidR="00493700" w:rsidRPr="00C53307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</w:p>
    <w:p w14:paraId="269F8309" w14:textId="77777777" w:rsidR="00493700" w:rsidRPr="00C53307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proofErr w:type="gramStart"/>
      <w:r w:rsidRPr="00C53307">
        <w:rPr>
          <w:rFonts w:eastAsia="Times" w:cs="Arial"/>
          <w:sz w:val="20"/>
          <w:szCs w:val="20"/>
          <w:lang w:val="en-US"/>
        </w:rPr>
        <w:t>Téléphone :</w:t>
      </w:r>
      <w:proofErr w:type="gramEnd"/>
      <w:r w:rsidRPr="00C53307">
        <w:rPr>
          <w:rFonts w:eastAsia="Times" w:cs="Arial"/>
          <w:sz w:val="20"/>
          <w:szCs w:val="20"/>
          <w:lang w:val="en-US"/>
        </w:rPr>
        <w:t xml:space="preserve"> +33 1 69 75 14-15</w:t>
      </w:r>
    </w:p>
    <w:p w14:paraId="5072BCD8" w14:textId="77777777" w:rsidR="00493700" w:rsidRDefault="00493700" w:rsidP="0049370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proofErr w:type="gramStart"/>
      <w:r w:rsidRPr="00C53307">
        <w:rPr>
          <w:rFonts w:eastAsia="Times" w:cs="Arial"/>
          <w:sz w:val="20"/>
          <w:szCs w:val="20"/>
          <w:lang w:val="en-US"/>
        </w:rPr>
        <w:t>Mail :</w:t>
      </w:r>
      <w:proofErr w:type="gramEnd"/>
      <w:r w:rsidRPr="00C53307">
        <w:rPr>
          <w:rFonts w:eastAsia="Times" w:cs="Arial"/>
          <w:sz w:val="20"/>
          <w:szCs w:val="20"/>
          <w:lang w:val="en-US"/>
        </w:rPr>
        <w:t xml:space="preserve"> </w:t>
      </w:r>
      <w:r w:rsidRPr="00177AAB">
        <w:rPr>
          <w:rFonts w:eastAsia="Times" w:cs="Arial"/>
          <w:sz w:val="20"/>
          <w:szCs w:val="20"/>
          <w:lang w:val="en-US"/>
        </w:rPr>
        <w:t>patrick.kargol@kipp.fr</w:t>
      </w:r>
    </w:p>
    <w:p w14:paraId="7AFE5527" w14:textId="6B1C5491" w:rsidR="0094682F" w:rsidRPr="00902828" w:rsidRDefault="00AE3ABD" w:rsidP="0094682F">
      <w:pPr>
        <w:pStyle w:val="berschrift3"/>
        <w:rPr>
          <w:lang w:val="fr-FR"/>
        </w:rPr>
      </w:pPr>
      <w:bookmarkStart w:id="0" w:name="_GoBack"/>
      <w:bookmarkEnd w:id="0"/>
      <w:r w:rsidRPr="00902828">
        <w:rPr>
          <w:lang w:val="fr-FR"/>
        </w:rPr>
        <w:t>Informations complémentaires et photos de presse</w:t>
      </w:r>
    </w:p>
    <w:p w14:paraId="0A15A033" w14:textId="10776150" w:rsidR="0094682F" w:rsidRPr="00902828" w:rsidRDefault="00AE3ABD" w:rsidP="0094682F">
      <w:pPr>
        <w:ind w:left="284"/>
        <w:rPr>
          <w:sz w:val="20"/>
          <w:lang w:val="fr-FR"/>
        </w:rPr>
      </w:pPr>
      <w:r w:rsidRPr="00902828">
        <w:rPr>
          <w:sz w:val="20"/>
          <w:lang w:val="fr-FR"/>
        </w:rPr>
        <w:t>Disponibles sur</w:t>
      </w:r>
      <w:r w:rsidR="0094682F" w:rsidRPr="00902828">
        <w:rPr>
          <w:sz w:val="20"/>
          <w:lang w:val="fr-FR"/>
        </w:rPr>
        <w:t xml:space="preserve"> www.kipp.com, </w:t>
      </w:r>
      <w:r w:rsidRPr="00902828">
        <w:rPr>
          <w:sz w:val="20"/>
          <w:lang w:val="fr-FR"/>
        </w:rPr>
        <w:t>Pays : France</w:t>
      </w:r>
      <w:r w:rsidR="0094682F" w:rsidRPr="00902828">
        <w:rPr>
          <w:sz w:val="20"/>
          <w:lang w:val="fr-FR"/>
        </w:rPr>
        <w:t xml:space="preserve">, </w:t>
      </w:r>
      <w:r w:rsidR="0094682F" w:rsidRPr="00902828">
        <w:rPr>
          <w:sz w:val="20"/>
          <w:lang w:val="fr-FR"/>
        </w:rPr>
        <w:br/>
      </w:r>
      <w:r w:rsidRPr="00902828">
        <w:rPr>
          <w:sz w:val="20"/>
          <w:lang w:val="fr-FR"/>
        </w:rPr>
        <w:t>Rubrique </w:t>
      </w:r>
      <w:r w:rsidR="0094682F" w:rsidRPr="00902828">
        <w:rPr>
          <w:sz w:val="20"/>
          <w:lang w:val="fr-FR"/>
        </w:rPr>
        <w:t xml:space="preserve">: </w:t>
      </w:r>
      <w:r w:rsidRPr="00902828">
        <w:rPr>
          <w:sz w:val="20"/>
          <w:lang w:val="fr-FR"/>
        </w:rPr>
        <w:t>Actualités/Communiqués de presse</w:t>
      </w:r>
    </w:p>
    <w:p w14:paraId="7AAF6EB5" w14:textId="77777777" w:rsidR="0094682F" w:rsidRPr="00902828" w:rsidRDefault="0094682F" w:rsidP="0094682F">
      <w:pPr>
        <w:pStyle w:val="berschrift3"/>
        <w:rPr>
          <w:lang w:val="fr-FR"/>
        </w:rPr>
      </w:pPr>
    </w:p>
    <w:p w14:paraId="37372013" w14:textId="77777777" w:rsidR="0094682F" w:rsidRPr="00902828" w:rsidRDefault="0094682F" w:rsidP="0094682F">
      <w:pPr>
        <w:pStyle w:val="berschrift3"/>
        <w:rPr>
          <w:lang w:val="fr-FR"/>
        </w:rPr>
      </w:pPr>
    </w:p>
    <w:p w14:paraId="58D6385E" w14:textId="021C5B7E" w:rsidR="0094682F" w:rsidRPr="00902828" w:rsidRDefault="003F2E3E" w:rsidP="0094682F">
      <w:pPr>
        <w:pStyle w:val="berschrift3"/>
        <w:rPr>
          <w:lang w:val="fr-FR"/>
        </w:rPr>
      </w:pPr>
      <w:r w:rsidRPr="00902828">
        <w:rPr>
          <w:lang w:val="fr-FR"/>
        </w:rPr>
        <w:t>Ph</w:t>
      </w:r>
      <w:r w:rsidR="0094682F" w:rsidRPr="00902828">
        <w:rPr>
          <w:lang w:val="fr-FR"/>
        </w:rPr>
        <w:t>otos</w:t>
      </w:r>
      <w:r w:rsidR="0094682F" w:rsidRPr="00902828">
        <w:rPr>
          <w:lang w:val="fr-FR"/>
        </w:rPr>
        <w:tab/>
      </w:r>
    </w:p>
    <w:p w14:paraId="2D3D4238" w14:textId="77777777" w:rsidR="0094682F" w:rsidRPr="00902828" w:rsidRDefault="0094682F" w:rsidP="0094682F">
      <w:pPr>
        <w:rPr>
          <w:lang w:val="fr-FR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8B3189" w:rsidRPr="00902828" w14:paraId="5A9CCDFE" w14:textId="77777777" w:rsidTr="00EB773D">
        <w:tc>
          <w:tcPr>
            <w:tcW w:w="4541" w:type="dxa"/>
          </w:tcPr>
          <w:p w14:paraId="2222308B" w14:textId="2181E40A" w:rsidR="0094682F" w:rsidRPr="00902828" w:rsidRDefault="003F2E3E" w:rsidP="00EB773D">
            <w:pPr>
              <w:rPr>
                <w:sz w:val="20"/>
                <w:lang w:val="fr-FR"/>
              </w:rPr>
            </w:pPr>
            <w:r w:rsidRPr="00902828">
              <w:rPr>
                <w:sz w:val="20"/>
                <w:lang w:val="fr-FR"/>
              </w:rPr>
              <w:t>Légende </w:t>
            </w:r>
            <w:r w:rsidR="0094682F" w:rsidRPr="00902828">
              <w:rPr>
                <w:sz w:val="20"/>
                <w:lang w:val="fr-FR"/>
              </w:rPr>
              <w:t xml:space="preserve">: </w:t>
            </w:r>
          </w:p>
          <w:p w14:paraId="14AD01F1" w14:textId="7FA6F1FA" w:rsidR="0094682F" w:rsidRPr="00902828" w:rsidRDefault="002048F4" w:rsidP="0094682F">
            <w:pPr>
              <w:rPr>
                <w:b/>
                <w:bCs/>
                <w:sz w:val="20"/>
                <w:lang w:val="fr-FR"/>
              </w:rPr>
            </w:pPr>
            <w:r w:rsidRPr="00902828">
              <w:rPr>
                <w:b/>
                <w:bCs/>
                <w:sz w:val="20"/>
                <w:lang w:val="fr-FR"/>
              </w:rPr>
              <w:t xml:space="preserve">Les supports de </w:t>
            </w:r>
            <w:r w:rsidR="0074692F">
              <w:rPr>
                <w:b/>
                <w:bCs/>
                <w:sz w:val="20"/>
                <w:lang w:val="fr-FR"/>
              </w:rPr>
              <w:t>fixation</w:t>
            </w:r>
            <w:r w:rsidRPr="00902828">
              <w:rPr>
                <w:b/>
                <w:bCs/>
                <w:sz w:val="20"/>
                <w:lang w:val="fr-FR"/>
              </w:rPr>
              <w:t xml:space="preserve"> KIPP en aluminium léger sont polyvalents et permettent des combinaisons multiples.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02828" w14:paraId="6F1217D5" w14:textId="77777777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302BEE" w14:textId="77777777" w:rsidR="0094682F" w:rsidRPr="00902828" w:rsidRDefault="0094682F" w:rsidP="0094682F">
                  <w:pPr>
                    <w:divId w:val="2012559489"/>
                    <w:rPr>
                      <w:sz w:val="20"/>
                      <w:lang w:val="fr-FR"/>
                    </w:rPr>
                  </w:pPr>
                </w:p>
              </w:tc>
            </w:tr>
          </w:tbl>
          <w:p w14:paraId="2429466F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5E7FD422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14:paraId="68FA04F3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</w:tc>
      </w:tr>
      <w:tr w:rsidR="008B3189" w:rsidRPr="00902828" w14:paraId="72E3736B" w14:textId="77777777" w:rsidTr="00EB773D">
        <w:tc>
          <w:tcPr>
            <w:tcW w:w="4541" w:type="dxa"/>
          </w:tcPr>
          <w:p w14:paraId="4C9782CF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6B820A80" w14:textId="77777777" w:rsidR="0094682F" w:rsidRPr="00902828" w:rsidRDefault="0094682F" w:rsidP="00EB773D">
            <w:pPr>
              <w:rPr>
                <w:noProof/>
                <w:sz w:val="20"/>
                <w:lang w:val="fr-FR"/>
              </w:rPr>
            </w:pPr>
          </w:p>
          <w:p w14:paraId="76D9BF64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1A9058F0" w14:textId="77777777" w:rsidR="0094682F" w:rsidRPr="00902828" w:rsidRDefault="008B3189" w:rsidP="00EB773D">
            <w:pPr>
              <w:rPr>
                <w:sz w:val="20"/>
                <w:lang w:val="fr-FR"/>
              </w:rPr>
            </w:pPr>
            <w:r w:rsidRPr="00902828">
              <w:rPr>
                <w:noProof/>
                <w:sz w:val="20"/>
                <w:lang w:eastAsia="ja-JP"/>
              </w:rPr>
              <w:drawing>
                <wp:inline distT="0" distB="0" distL="0" distR="0" wp14:anchorId="1A33C585" wp14:editId="4F2D47FF">
                  <wp:extent cx="2672812" cy="102235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Haltestücke Aluminiu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062" cy="110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0C189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4DFD7026" w14:textId="77777777" w:rsidR="0094682F" w:rsidRPr="00902828" w:rsidRDefault="0094682F" w:rsidP="00EB773D">
            <w:pPr>
              <w:rPr>
                <w:lang w:val="fr-FR"/>
              </w:rPr>
            </w:pPr>
          </w:p>
          <w:p w14:paraId="17A44C77" w14:textId="18C10122" w:rsidR="0094682F" w:rsidRPr="00902828" w:rsidRDefault="002048F4" w:rsidP="002048F4">
            <w:pPr>
              <w:ind w:left="-79"/>
              <w:rPr>
                <w:sz w:val="16"/>
                <w:szCs w:val="16"/>
                <w:lang w:val="fr-FR"/>
              </w:rPr>
            </w:pPr>
            <w:r w:rsidRPr="00902828">
              <w:rPr>
                <w:sz w:val="16"/>
                <w:szCs w:val="16"/>
                <w:lang w:val="fr-FR"/>
              </w:rPr>
              <w:t>Copyright : Reproduction libre de droits dans les médias spécialisés, moyennant mention de la source et envoi d’un exemplaire de la publication.</w:t>
            </w:r>
          </w:p>
          <w:p w14:paraId="15161D84" w14:textId="77777777" w:rsidR="0094682F" w:rsidRPr="00902828" w:rsidRDefault="0094682F" w:rsidP="00EB773D">
            <w:pPr>
              <w:rPr>
                <w:noProof/>
                <w:sz w:val="20"/>
                <w:lang w:val="fr-FR"/>
              </w:rPr>
            </w:pPr>
          </w:p>
          <w:p w14:paraId="0C7711D8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4EF44A7C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0CDA47AC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2CFC560C" w14:textId="77777777" w:rsidR="0094682F" w:rsidRPr="00902828" w:rsidRDefault="0094682F" w:rsidP="00EB773D">
            <w:pPr>
              <w:ind w:left="-79"/>
              <w:rPr>
                <w:sz w:val="20"/>
                <w:lang w:val="fr-FR"/>
              </w:rPr>
            </w:pPr>
          </w:p>
          <w:p w14:paraId="677DC58D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5F109F18" w14:textId="77777777" w:rsidR="0094682F" w:rsidRPr="00902828" w:rsidRDefault="0094682F" w:rsidP="00EB773D">
            <w:pPr>
              <w:ind w:left="-79"/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14:paraId="1BB432A3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6B0765AA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  <w:r w:rsidRPr="00902828">
              <w:rPr>
                <w:sz w:val="20"/>
                <w:lang w:val="fr-FR"/>
              </w:rPr>
              <w:t xml:space="preserve"> </w:t>
            </w:r>
          </w:p>
          <w:p w14:paraId="15D40B6B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02C6C7A4" w14:textId="77777777" w:rsidR="008B3189" w:rsidRPr="00902828" w:rsidRDefault="008B3189" w:rsidP="00EB773D">
            <w:pPr>
              <w:rPr>
                <w:sz w:val="20"/>
                <w:lang w:val="fr-FR"/>
              </w:rPr>
            </w:pPr>
          </w:p>
          <w:p w14:paraId="1EE581CC" w14:textId="77777777" w:rsidR="00CD51D6" w:rsidRPr="00902828" w:rsidRDefault="00CD51D6" w:rsidP="00EB773D">
            <w:pPr>
              <w:rPr>
                <w:sz w:val="20"/>
                <w:lang w:val="fr-FR"/>
              </w:rPr>
            </w:pPr>
          </w:p>
          <w:p w14:paraId="65B130D2" w14:textId="77777777" w:rsidR="008B3189" w:rsidRPr="00902828" w:rsidRDefault="008B3189" w:rsidP="00EB773D">
            <w:pPr>
              <w:rPr>
                <w:sz w:val="20"/>
                <w:lang w:val="fr-FR"/>
              </w:rPr>
            </w:pPr>
          </w:p>
          <w:p w14:paraId="59AAE498" w14:textId="77777777" w:rsidR="008B3189" w:rsidRPr="00902828" w:rsidRDefault="008B3189" w:rsidP="00EB773D">
            <w:pPr>
              <w:rPr>
                <w:sz w:val="20"/>
                <w:lang w:val="fr-FR"/>
              </w:rPr>
            </w:pPr>
          </w:p>
          <w:p w14:paraId="0C10822C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705E9B7D" w14:textId="48777C2A" w:rsidR="00984942" w:rsidRPr="00902828" w:rsidRDefault="002048F4" w:rsidP="00EB773D">
            <w:pPr>
              <w:rPr>
                <w:sz w:val="20"/>
                <w:lang w:val="fr-FR"/>
              </w:rPr>
            </w:pPr>
            <w:r w:rsidRPr="00902828">
              <w:rPr>
                <w:sz w:val="20"/>
                <w:lang w:val="fr-FR"/>
              </w:rPr>
              <w:t>Fichier image </w:t>
            </w:r>
            <w:r w:rsidR="0094682F" w:rsidRPr="00902828">
              <w:rPr>
                <w:sz w:val="20"/>
                <w:lang w:val="fr-FR"/>
              </w:rPr>
              <w:t xml:space="preserve">: </w:t>
            </w:r>
          </w:p>
          <w:p w14:paraId="787FEB84" w14:textId="77777777" w:rsidR="0094682F" w:rsidRPr="00902828" w:rsidRDefault="00984942" w:rsidP="00EB773D">
            <w:pPr>
              <w:rPr>
                <w:sz w:val="20"/>
                <w:lang w:val="fr-FR"/>
              </w:rPr>
            </w:pPr>
            <w:r w:rsidRPr="00902828">
              <w:rPr>
                <w:noProof/>
                <w:sz w:val="20"/>
                <w:lang w:val="fr-FR"/>
              </w:rPr>
              <w:t xml:space="preserve">KIPP </w:t>
            </w:r>
            <w:r w:rsidR="00734277" w:rsidRPr="00902828">
              <w:rPr>
                <w:noProof/>
                <w:sz w:val="20"/>
                <w:lang w:val="fr-FR"/>
              </w:rPr>
              <w:t>Haltestücke Aluminium</w:t>
            </w:r>
            <w:r w:rsidRPr="00902828">
              <w:rPr>
                <w:noProof/>
                <w:sz w:val="20"/>
                <w:lang w:val="fr-FR"/>
              </w:rPr>
              <w:t>.jpg</w:t>
            </w:r>
          </w:p>
          <w:p w14:paraId="5E7B1060" w14:textId="77777777" w:rsidR="0094682F" w:rsidRPr="00902828" w:rsidRDefault="0094682F" w:rsidP="00EB773D">
            <w:pPr>
              <w:rPr>
                <w:noProof/>
                <w:sz w:val="20"/>
                <w:lang w:val="fr-FR"/>
              </w:rPr>
            </w:pPr>
          </w:p>
          <w:p w14:paraId="32302298" w14:textId="77777777" w:rsidR="0094682F" w:rsidRPr="00902828" w:rsidRDefault="0094682F" w:rsidP="00EB773D">
            <w:pPr>
              <w:rPr>
                <w:noProof/>
                <w:sz w:val="20"/>
                <w:lang w:val="fr-FR"/>
              </w:rPr>
            </w:pPr>
          </w:p>
          <w:p w14:paraId="7BABF463" w14:textId="77777777" w:rsidR="0094682F" w:rsidRPr="00902828" w:rsidRDefault="0094682F" w:rsidP="00EB773D">
            <w:pPr>
              <w:rPr>
                <w:noProof/>
                <w:sz w:val="20"/>
                <w:lang w:val="fr-FR"/>
              </w:rPr>
            </w:pPr>
          </w:p>
          <w:p w14:paraId="0ECB6BA2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2CECEE75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1884D8B8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  <w:p w14:paraId="3B7AD8FF" w14:textId="77777777" w:rsidR="0094682F" w:rsidRPr="00902828" w:rsidRDefault="0094682F" w:rsidP="00EB773D">
            <w:pPr>
              <w:rPr>
                <w:sz w:val="20"/>
                <w:lang w:val="fr-FR"/>
              </w:rPr>
            </w:pPr>
          </w:p>
        </w:tc>
      </w:tr>
    </w:tbl>
    <w:p w14:paraId="1ACFC656" w14:textId="77777777" w:rsidR="0094682F" w:rsidRPr="00902828" w:rsidRDefault="0094682F" w:rsidP="0094682F">
      <w:pPr>
        <w:rPr>
          <w:lang w:val="fr-FR"/>
        </w:rPr>
      </w:pPr>
    </w:p>
    <w:p w14:paraId="2FF88B76" w14:textId="77777777" w:rsidR="00783817" w:rsidRPr="00902828" w:rsidRDefault="00783817">
      <w:pPr>
        <w:rPr>
          <w:lang w:val="fr-FR"/>
        </w:rPr>
      </w:pPr>
    </w:p>
    <w:sectPr w:rsidR="00783817" w:rsidRPr="00902828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70575" w14:textId="77777777" w:rsidR="00C15FDE" w:rsidRDefault="00C15FDE">
      <w:r>
        <w:separator/>
      </w:r>
    </w:p>
  </w:endnote>
  <w:endnote w:type="continuationSeparator" w:id="0">
    <w:p w14:paraId="2E26264C" w14:textId="77777777" w:rsidR="00C15FDE" w:rsidRDefault="00C1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B456" w14:textId="77777777" w:rsidR="00C15FDE" w:rsidRPr="000E5B84" w:rsidRDefault="00C15FDE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9370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FE2D2" w14:textId="77777777" w:rsidR="00C15FDE" w:rsidRDefault="00C15FDE">
      <w:r>
        <w:separator/>
      </w:r>
    </w:p>
  </w:footnote>
  <w:footnote w:type="continuationSeparator" w:id="0">
    <w:p w14:paraId="386B7AF3" w14:textId="77777777" w:rsidR="00C15FDE" w:rsidRDefault="00C1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878AB"/>
    <w:rsid w:val="0009007F"/>
    <w:rsid w:val="00096AA0"/>
    <w:rsid w:val="000B2E15"/>
    <w:rsid w:val="000C2BCB"/>
    <w:rsid w:val="000D7C05"/>
    <w:rsid w:val="000F5413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0062"/>
    <w:rsid w:val="002048F4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3F2E3E"/>
    <w:rsid w:val="00404ECE"/>
    <w:rsid w:val="00415C62"/>
    <w:rsid w:val="0043253B"/>
    <w:rsid w:val="00435B6A"/>
    <w:rsid w:val="004375D2"/>
    <w:rsid w:val="00444C4B"/>
    <w:rsid w:val="00451752"/>
    <w:rsid w:val="0045707C"/>
    <w:rsid w:val="004660C1"/>
    <w:rsid w:val="004711A8"/>
    <w:rsid w:val="00493700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32E2C"/>
    <w:rsid w:val="006331E2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4692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9731F"/>
    <w:rsid w:val="008B3189"/>
    <w:rsid w:val="008D718C"/>
    <w:rsid w:val="008D722E"/>
    <w:rsid w:val="008D7D92"/>
    <w:rsid w:val="00902828"/>
    <w:rsid w:val="009279A4"/>
    <w:rsid w:val="009410AD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E3ABD"/>
    <w:rsid w:val="00AF76CF"/>
    <w:rsid w:val="00B17EC0"/>
    <w:rsid w:val="00B234EB"/>
    <w:rsid w:val="00B3114D"/>
    <w:rsid w:val="00B57513"/>
    <w:rsid w:val="00B72555"/>
    <w:rsid w:val="00B80412"/>
    <w:rsid w:val="00BA7DFB"/>
    <w:rsid w:val="00BD2122"/>
    <w:rsid w:val="00BE3937"/>
    <w:rsid w:val="00BF1F65"/>
    <w:rsid w:val="00BF2298"/>
    <w:rsid w:val="00BF3FE9"/>
    <w:rsid w:val="00BF40F3"/>
    <w:rsid w:val="00C1139F"/>
    <w:rsid w:val="00C15FDE"/>
    <w:rsid w:val="00C43B71"/>
    <w:rsid w:val="00C56C4B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B77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53112D"/>
  <w15:docId w15:val="{9CAC985A-4FA2-4DBB-B16B-CCBC5314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C9DC-D49F-4D26-BBC5-711DF4E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47B95965.dotm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32</cp:revision>
  <cp:lastPrinted>2015-06-03T08:59:00Z</cp:lastPrinted>
  <dcterms:created xsi:type="dcterms:W3CDTF">2015-07-01T07:00:00Z</dcterms:created>
  <dcterms:modified xsi:type="dcterms:W3CDTF">2015-09-01T08:50:00Z</dcterms:modified>
</cp:coreProperties>
</file>